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08" w:rsidRPr="001F6151" w:rsidRDefault="000E0008" w:rsidP="000E00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F6151">
        <w:rPr>
          <w:rFonts w:ascii="Arial" w:eastAsia="Times New Roman" w:hAnsi="Arial" w:cs="Arial"/>
          <w:b/>
          <w:sz w:val="24"/>
          <w:szCs w:val="24"/>
          <w:lang w:eastAsia="fr-FR"/>
        </w:rPr>
        <w:t>Travaux et recherches</w:t>
      </w:r>
    </w:p>
    <w:p w:rsidR="000E0008" w:rsidRPr="001F6151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</w:pPr>
    </w:p>
    <w:p w:rsidR="000E0008" w:rsidRPr="001F6151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1F615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Ouvrages</w:t>
      </w:r>
    </w:p>
    <w:p w:rsidR="000E0008" w:rsidRPr="001F6151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0E0008" w:rsidRPr="008E3D54" w:rsidRDefault="000E0008" w:rsidP="000E0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Corps &amp; Droit, </w:t>
      </w:r>
      <w:r w:rsidRPr="008E3D54">
        <w:rPr>
          <w:rFonts w:ascii="Arial" w:hAnsi="Arial" w:cs="Arial"/>
          <w:b/>
          <w:i/>
          <w:sz w:val="20"/>
          <w:szCs w:val="20"/>
        </w:rPr>
        <w:t>des cheveux du mérovingien à l’</w:t>
      </w:r>
      <w:r w:rsidRPr="008E3D54">
        <w:rPr>
          <w:rFonts w:ascii="Arial" w:hAnsi="Arial" w:cs="Arial"/>
          <w:b/>
          <w:sz w:val="20"/>
          <w:szCs w:val="20"/>
        </w:rPr>
        <w:t xml:space="preserve">homo </w:t>
      </w:r>
      <w:proofErr w:type="spellStart"/>
      <w:r w:rsidRPr="008E3D54">
        <w:rPr>
          <w:rFonts w:ascii="Arial" w:hAnsi="Arial" w:cs="Arial"/>
          <w:b/>
          <w:sz w:val="20"/>
          <w:szCs w:val="20"/>
        </w:rPr>
        <w:t>numericus</w:t>
      </w:r>
      <w:proofErr w:type="spellEnd"/>
      <w:r>
        <w:rPr>
          <w:rFonts w:ascii="Arial" w:hAnsi="Arial" w:cs="Arial"/>
          <w:sz w:val="20"/>
          <w:szCs w:val="20"/>
        </w:rPr>
        <w:t>, C. Bouglé-Le Roux (s. d.), Paris, Lexis-</w:t>
      </w:r>
      <w:proofErr w:type="spellStart"/>
      <w:r>
        <w:rPr>
          <w:rFonts w:ascii="Arial" w:hAnsi="Arial" w:cs="Arial"/>
          <w:sz w:val="20"/>
          <w:szCs w:val="20"/>
        </w:rPr>
        <w:t>Nexis</w:t>
      </w:r>
      <w:proofErr w:type="spellEnd"/>
      <w:r>
        <w:rPr>
          <w:rFonts w:ascii="Arial" w:hAnsi="Arial" w:cs="Arial"/>
          <w:sz w:val="20"/>
          <w:szCs w:val="20"/>
        </w:rPr>
        <w:t>, 152 pages.</w:t>
      </w:r>
    </w:p>
    <w:p w:rsidR="000E0008" w:rsidRDefault="000E0008" w:rsidP="000E000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:rsidR="000E0008" w:rsidRPr="008E3D54" w:rsidRDefault="000E0008" w:rsidP="000E000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:rsidR="000E0008" w:rsidRPr="008E3D54" w:rsidRDefault="000E0008" w:rsidP="000E0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8E3D54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 xml:space="preserve">La littérature française et le droit, du Roman de </w:t>
      </w:r>
      <w:proofErr w:type="spellStart"/>
      <w:r w:rsidRPr="008E3D54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>Renart</w:t>
      </w:r>
      <w:proofErr w:type="spellEnd"/>
      <w:r w:rsidRPr="008E3D54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 xml:space="preserve"> à Camus (XIIème-XXème), Anthologie illustrée</w:t>
      </w:r>
      <w:r w:rsidRPr="008E3D54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, Lexis-</w:t>
      </w:r>
      <w:proofErr w:type="spellStart"/>
      <w:r w:rsidRPr="008E3D54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Nexis</w:t>
      </w:r>
      <w:proofErr w:type="spellEnd"/>
      <w:r w:rsidRPr="008E3D54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, Paris, 2013, 349 pages.</w:t>
      </w:r>
      <w:r w:rsidRPr="008E3D54">
        <w:rPr>
          <w:rFonts w:ascii="Arial" w:eastAsia="Times New Roman" w:hAnsi="Arial" w:cs="Arial"/>
          <w:sz w:val="18"/>
          <w:szCs w:val="18"/>
          <w:lang w:eastAsia="fr-FR"/>
        </w:rPr>
        <w:br/>
      </w:r>
      <w:r w:rsidRPr="008E3D54">
        <w:rPr>
          <w:rFonts w:ascii="Arial" w:eastAsia="Times New Roman" w:hAnsi="Arial" w:cs="Arial"/>
          <w:sz w:val="18"/>
          <w:szCs w:val="18"/>
          <w:lang w:eastAsia="fr-FR"/>
        </w:rPr>
        <w:br/>
      </w:r>
    </w:p>
    <w:p w:rsidR="000E0008" w:rsidRPr="008E3D54" w:rsidRDefault="000E0008" w:rsidP="000E0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8E3D54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>Cours d’Introduction historique au droit des obligations</w:t>
      </w:r>
      <w:r w:rsidRPr="008E3D54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,</w:t>
      </w:r>
      <w:r w:rsidRPr="008E3D54">
        <w:rPr>
          <w:rFonts w:ascii="Arial" w:eastAsia="Times New Roman" w:hAnsi="Arial" w:cs="Arial"/>
          <w:sz w:val="18"/>
          <w:szCs w:val="18"/>
          <w:lang w:eastAsia="fr-FR"/>
        </w:rPr>
        <w:t xml:space="preserve"> en collaboration avec les Professeurs E. Chevreau et Y. </w:t>
      </w:r>
      <w:proofErr w:type="spellStart"/>
      <w:r w:rsidRPr="008E3D54">
        <w:rPr>
          <w:rFonts w:ascii="Arial" w:eastAsia="Times New Roman" w:hAnsi="Arial" w:cs="Arial"/>
          <w:sz w:val="18"/>
          <w:szCs w:val="18"/>
          <w:lang w:eastAsia="fr-FR"/>
        </w:rPr>
        <w:t>Mausen</w:t>
      </w:r>
      <w:proofErr w:type="spellEnd"/>
      <w:r w:rsidRPr="008E3D54">
        <w:rPr>
          <w:rFonts w:ascii="Arial" w:eastAsia="Times New Roman" w:hAnsi="Arial" w:cs="Arial"/>
          <w:sz w:val="18"/>
          <w:szCs w:val="18"/>
          <w:lang w:eastAsia="fr-FR"/>
        </w:rPr>
        <w:t>, Objectif Droit (Licence-Master), Lexis-</w:t>
      </w:r>
      <w:proofErr w:type="spellStart"/>
      <w:r w:rsidRPr="008E3D54">
        <w:rPr>
          <w:rFonts w:ascii="Arial" w:eastAsia="Times New Roman" w:hAnsi="Arial" w:cs="Arial"/>
          <w:sz w:val="18"/>
          <w:szCs w:val="18"/>
          <w:lang w:eastAsia="fr-FR"/>
        </w:rPr>
        <w:t>Nexis</w:t>
      </w:r>
      <w:proofErr w:type="spellEnd"/>
      <w:r w:rsidRPr="008E3D54">
        <w:rPr>
          <w:rFonts w:ascii="Arial" w:eastAsia="Times New Roman" w:hAnsi="Arial" w:cs="Arial"/>
          <w:sz w:val="18"/>
          <w:szCs w:val="18"/>
          <w:lang w:eastAsia="fr-FR"/>
        </w:rPr>
        <w:t xml:space="preserve">, </w:t>
      </w:r>
      <w:proofErr w:type="spellStart"/>
      <w:r w:rsidRPr="008E3D54">
        <w:rPr>
          <w:rFonts w:ascii="Arial" w:eastAsia="Times New Roman" w:hAnsi="Arial" w:cs="Arial"/>
          <w:sz w:val="18"/>
          <w:szCs w:val="18"/>
          <w:lang w:eastAsia="fr-FR"/>
        </w:rPr>
        <w:t>Litec</w:t>
      </w:r>
      <w:proofErr w:type="spellEnd"/>
      <w:r w:rsidRPr="008E3D54">
        <w:rPr>
          <w:rFonts w:ascii="Arial" w:eastAsia="Times New Roman" w:hAnsi="Arial" w:cs="Arial"/>
          <w:sz w:val="18"/>
          <w:szCs w:val="18"/>
          <w:lang w:eastAsia="fr-FR"/>
        </w:rPr>
        <w:t>, Paris, 2007, partie consacrée à la Révolution et au XIXème siècle, p. 183-261(2</w:t>
      </w:r>
      <w:r w:rsidRPr="008E3D54">
        <w:rPr>
          <w:rFonts w:ascii="Arial" w:eastAsia="Times New Roman" w:hAnsi="Arial" w:cs="Arial"/>
          <w:sz w:val="18"/>
          <w:szCs w:val="18"/>
          <w:vertAlign w:val="superscript"/>
          <w:lang w:eastAsia="fr-FR"/>
        </w:rPr>
        <w:t>nde</w:t>
      </w:r>
      <w:r w:rsidRPr="008E3D54">
        <w:rPr>
          <w:rFonts w:ascii="Arial" w:eastAsia="Times New Roman" w:hAnsi="Arial" w:cs="Arial"/>
          <w:sz w:val="18"/>
          <w:szCs w:val="18"/>
          <w:lang w:eastAsia="fr-FR"/>
        </w:rPr>
        <w:t xml:space="preserve"> éd. 2011).</w:t>
      </w:r>
      <w:r w:rsidRPr="008E3D54">
        <w:rPr>
          <w:rFonts w:ascii="Arial" w:eastAsia="Times New Roman" w:hAnsi="Arial" w:cs="Arial"/>
          <w:sz w:val="18"/>
          <w:szCs w:val="18"/>
          <w:lang w:eastAsia="fr-FR"/>
        </w:rPr>
        <w:br/>
      </w:r>
    </w:p>
    <w:p w:rsidR="000E0008" w:rsidRPr="008E3D54" w:rsidRDefault="000E0008" w:rsidP="000E0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8E3D54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>La Cour de cassation et le Code pénal de 1810 : le principe de légalité à l’épreuve de la jurisprudence</w:t>
      </w:r>
      <w:r w:rsidRPr="008E3D54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, (1811-1863)</w:t>
      </w:r>
      <w:r w:rsidRPr="008E3D54">
        <w:rPr>
          <w:rFonts w:ascii="Arial" w:eastAsia="Times New Roman" w:hAnsi="Arial" w:cs="Arial"/>
          <w:sz w:val="18"/>
          <w:szCs w:val="18"/>
          <w:lang w:eastAsia="fr-FR"/>
        </w:rPr>
        <w:t xml:space="preserve">, Paris, </w:t>
      </w:r>
      <w:proofErr w:type="spellStart"/>
      <w:r w:rsidRPr="008E3D54">
        <w:rPr>
          <w:rFonts w:ascii="Arial" w:eastAsia="Times New Roman" w:hAnsi="Arial" w:cs="Arial"/>
          <w:sz w:val="18"/>
          <w:szCs w:val="18"/>
          <w:lang w:eastAsia="fr-FR"/>
        </w:rPr>
        <w:t>Collec</w:t>
      </w:r>
      <w:proofErr w:type="spellEnd"/>
      <w:r w:rsidRPr="008E3D54">
        <w:rPr>
          <w:rFonts w:ascii="Arial" w:eastAsia="Times New Roman" w:hAnsi="Arial" w:cs="Arial"/>
          <w:sz w:val="18"/>
          <w:szCs w:val="18"/>
          <w:lang w:eastAsia="fr-FR"/>
        </w:rPr>
        <w:t>. Bibliot</w:t>
      </w:r>
      <w:r>
        <w:rPr>
          <w:rFonts w:ascii="Arial" w:eastAsia="Times New Roman" w:hAnsi="Arial" w:cs="Arial"/>
          <w:sz w:val="18"/>
          <w:szCs w:val="18"/>
          <w:lang w:eastAsia="fr-FR"/>
        </w:rPr>
        <w:t>hèque des sciences criminelles</w:t>
      </w:r>
      <w:proofErr w:type="gramStart"/>
      <w:r>
        <w:rPr>
          <w:rFonts w:ascii="Arial" w:eastAsia="Times New Roman" w:hAnsi="Arial" w:cs="Arial"/>
          <w:sz w:val="18"/>
          <w:szCs w:val="18"/>
          <w:lang w:eastAsia="fr-FR"/>
        </w:rPr>
        <w:t>,,</w:t>
      </w:r>
      <w:proofErr w:type="gramEnd"/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8E3D54">
        <w:rPr>
          <w:rFonts w:ascii="Arial" w:eastAsia="Times New Roman" w:hAnsi="Arial" w:cs="Arial"/>
          <w:sz w:val="18"/>
          <w:szCs w:val="18"/>
          <w:lang w:eastAsia="fr-FR"/>
        </w:rPr>
        <w:t>L.G.D.J., Paris, 2005, 659 pages.</w:t>
      </w:r>
    </w:p>
    <w:p w:rsidR="000E0008" w:rsidRPr="001F6151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0E0008" w:rsidRPr="001F6151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0E0008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1F615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Publication numérique</w:t>
      </w:r>
    </w:p>
    <w:p w:rsidR="000E0008" w:rsidRDefault="000E0008" w:rsidP="000E000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Default="000E0008" w:rsidP="000E000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    1. </w:t>
      </w:r>
      <w:r w:rsidRPr="008E3D54">
        <w:rPr>
          <w:rFonts w:ascii="Arial" w:eastAsia="Times New Roman" w:hAnsi="Arial" w:cs="Arial"/>
          <w:b/>
          <w:i/>
          <w:sz w:val="20"/>
          <w:szCs w:val="20"/>
          <w:lang w:eastAsia="fr-FR"/>
        </w:rPr>
        <w:t>Cours d’histoire du droit pénal, de l’ordre public et de la justice criminelle</w:t>
      </w:r>
      <w:r w:rsidRPr="008E3D54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proofErr w:type="spellStart"/>
      <w:r w:rsidRPr="008E3D54">
        <w:rPr>
          <w:rFonts w:ascii="Arial" w:eastAsia="Times New Roman" w:hAnsi="Arial" w:cs="Arial"/>
          <w:sz w:val="20"/>
          <w:szCs w:val="20"/>
          <w:lang w:eastAsia="fr-FR"/>
        </w:rPr>
        <w:t>Unjf</w:t>
      </w:r>
      <w:proofErr w:type="spellEnd"/>
      <w:r w:rsidRPr="008E3D54">
        <w:rPr>
          <w:rFonts w:ascii="Arial" w:eastAsia="Times New Roman" w:hAnsi="Arial" w:cs="Arial"/>
          <w:sz w:val="20"/>
          <w:szCs w:val="20"/>
          <w:lang w:eastAsia="fr-FR"/>
        </w:rPr>
        <w:t>, 2015</w:t>
      </w:r>
    </w:p>
    <w:p w:rsidR="000E0008" w:rsidRDefault="000E0008" w:rsidP="000E0008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</w:p>
    <w:p w:rsidR="000E0008" w:rsidRPr="000E0008" w:rsidRDefault="000E0008" w:rsidP="000E000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      2. </w:t>
      </w:r>
      <w:r w:rsidRPr="000E0008">
        <w:rPr>
          <w:rFonts w:ascii="Arial" w:eastAsia="Times New Roman" w:hAnsi="Arial" w:cs="Arial"/>
          <w:b/>
          <w:i/>
          <w:sz w:val="20"/>
          <w:szCs w:val="20"/>
          <w:lang w:eastAsia="fr-FR"/>
        </w:rPr>
        <w:t>Cours sur les représentations du droit et de la justice, Iconologie juridique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</w:t>
      </w:r>
      <w:proofErr w:type="spellStart"/>
      <w:r w:rsidRPr="000E0008">
        <w:rPr>
          <w:rFonts w:ascii="Arial" w:eastAsia="Times New Roman" w:hAnsi="Arial" w:cs="Arial"/>
          <w:sz w:val="20"/>
          <w:szCs w:val="20"/>
          <w:lang w:eastAsia="fr-FR"/>
        </w:rPr>
        <w:t>Unjf</w:t>
      </w:r>
      <w:proofErr w:type="spellEnd"/>
      <w:r w:rsidRPr="000E0008">
        <w:rPr>
          <w:rFonts w:ascii="Arial" w:eastAsia="Times New Roman" w:hAnsi="Arial" w:cs="Arial"/>
          <w:sz w:val="20"/>
          <w:szCs w:val="20"/>
          <w:lang w:eastAsia="fr-FR"/>
        </w:rPr>
        <w:t>, 2020 (en préparation)</w:t>
      </w:r>
    </w:p>
    <w:p w:rsidR="000E0008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1F6151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0E0008" w:rsidRPr="001F6151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r w:rsidRPr="001F615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Articles</w:t>
      </w:r>
    </w:p>
    <w:p w:rsidR="000E0008" w:rsidRPr="001F6151" w:rsidRDefault="000E0008" w:rsidP="000E000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0E0008" w:rsidRPr="000E0008" w:rsidRDefault="000E0008" w:rsidP="000E0008">
      <w:pPr>
        <w:jc w:val="both"/>
        <w:rPr>
          <w:rFonts w:ascii="Arial" w:hAnsi="Arial" w:cs="Arial"/>
          <w:sz w:val="20"/>
          <w:szCs w:val="20"/>
        </w:rPr>
      </w:pPr>
    </w:p>
    <w:p w:rsidR="000E0008" w:rsidRPr="000E0008" w:rsidRDefault="000E0008" w:rsidP="000E000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Joseph-Marie Portalis, Les audaces d’une présidence (1824-1829) », en préparation.</w:t>
      </w:r>
    </w:p>
    <w:p w:rsidR="000E0008" w:rsidRP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Default="000E0008" w:rsidP="000E000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E0008">
        <w:rPr>
          <w:rFonts w:ascii="Arial" w:hAnsi="Arial" w:cs="Arial"/>
          <w:sz w:val="20"/>
          <w:szCs w:val="20"/>
        </w:rPr>
        <w:t xml:space="preserve">« Du fétiche </w:t>
      </w:r>
      <w:proofErr w:type="spellStart"/>
      <w:r w:rsidRPr="000E0008">
        <w:rPr>
          <w:rFonts w:ascii="Arial" w:hAnsi="Arial" w:cs="Arial"/>
          <w:sz w:val="20"/>
          <w:szCs w:val="20"/>
        </w:rPr>
        <w:t>Arumbaya</w:t>
      </w:r>
      <w:proofErr w:type="spellEnd"/>
      <w:r w:rsidRPr="000E0008">
        <w:rPr>
          <w:rFonts w:ascii="Arial" w:hAnsi="Arial" w:cs="Arial"/>
          <w:sz w:val="20"/>
          <w:szCs w:val="20"/>
        </w:rPr>
        <w:t>. L’inaliénabilité à l’épreuve de l’origine des biens », en préparation.</w:t>
      </w:r>
    </w:p>
    <w:p w:rsid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Pr="000E0008" w:rsidRDefault="000E0008" w:rsidP="000E000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 De Tintin à la momie Rascar </w:t>
      </w:r>
      <w:proofErr w:type="spellStart"/>
      <w:r>
        <w:rPr>
          <w:rFonts w:ascii="Arial" w:hAnsi="Arial" w:cs="Arial"/>
          <w:sz w:val="20"/>
          <w:szCs w:val="20"/>
        </w:rPr>
        <w:t>Capac</w:t>
      </w:r>
      <w:proofErr w:type="spellEnd"/>
      <w:r>
        <w:rPr>
          <w:rFonts w:ascii="Arial" w:hAnsi="Arial" w:cs="Arial"/>
          <w:sz w:val="20"/>
          <w:szCs w:val="20"/>
        </w:rPr>
        <w:t> : le corps dans tous ses états », in J. Heymann (</w:t>
      </w:r>
      <w:proofErr w:type="spellStart"/>
      <w:r>
        <w:rPr>
          <w:rFonts w:ascii="Arial" w:hAnsi="Arial" w:cs="Arial"/>
          <w:sz w:val="20"/>
          <w:szCs w:val="20"/>
        </w:rPr>
        <w:t>s.d</w:t>
      </w:r>
      <w:proofErr w:type="spellEnd"/>
      <w:r>
        <w:rPr>
          <w:rFonts w:ascii="Arial" w:hAnsi="Arial" w:cs="Arial"/>
          <w:sz w:val="20"/>
          <w:szCs w:val="20"/>
        </w:rPr>
        <w:t xml:space="preserve">.), </w:t>
      </w:r>
      <w:r w:rsidRPr="000E0008">
        <w:rPr>
          <w:rFonts w:ascii="Arial" w:hAnsi="Arial" w:cs="Arial"/>
          <w:i/>
          <w:sz w:val="20"/>
          <w:szCs w:val="20"/>
        </w:rPr>
        <w:t>Tintin et le droit</w:t>
      </w:r>
      <w:r>
        <w:rPr>
          <w:rFonts w:ascii="Arial" w:hAnsi="Arial" w:cs="Arial"/>
          <w:sz w:val="20"/>
          <w:szCs w:val="20"/>
        </w:rPr>
        <w:t xml:space="preserve">, Lexis </w:t>
      </w:r>
      <w:proofErr w:type="spellStart"/>
      <w:r>
        <w:rPr>
          <w:rFonts w:ascii="Arial" w:hAnsi="Arial" w:cs="Arial"/>
          <w:sz w:val="20"/>
          <w:szCs w:val="20"/>
        </w:rPr>
        <w:t>Nexis</w:t>
      </w:r>
      <w:proofErr w:type="spellEnd"/>
      <w:r>
        <w:rPr>
          <w:rFonts w:ascii="Arial" w:hAnsi="Arial" w:cs="Arial"/>
          <w:sz w:val="20"/>
          <w:szCs w:val="20"/>
        </w:rPr>
        <w:t xml:space="preserve"> (sous presse).</w:t>
      </w:r>
    </w:p>
    <w:p w:rsidR="000E0008" w:rsidRP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Default="000E0008" w:rsidP="000E000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E3D54">
        <w:rPr>
          <w:rFonts w:ascii="Arial" w:hAnsi="Arial" w:cs="Arial"/>
          <w:i/>
          <w:sz w:val="20"/>
          <w:szCs w:val="20"/>
        </w:rPr>
        <w:t xml:space="preserve">Soie sur </w:t>
      </w:r>
      <w:proofErr w:type="spellStart"/>
      <w:r w:rsidRPr="008E3D54">
        <w:rPr>
          <w:rFonts w:ascii="Arial" w:hAnsi="Arial" w:cs="Arial"/>
          <w:i/>
          <w:sz w:val="20"/>
          <w:szCs w:val="20"/>
        </w:rPr>
        <w:t>piez</w:t>
      </w:r>
      <w:proofErr w:type="spellEnd"/>
      <w:r w:rsidRPr="008E3D54">
        <w:rPr>
          <w:rFonts w:ascii="Arial" w:hAnsi="Arial" w:cs="Arial"/>
          <w:i/>
          <w:sz w:val="20"/>
          <w:szCs w:val="20"/>
        </w:rPr>
        <w:t xml:space="preserve"> soie en </w:t>
      </w:r>
      <w:proofErr w:type="spellStart"/>
      <w:r w:rsidRPr="008E3D54">
        <w:rPr>
          <w:rFonts w:ascii="Arial" w:hAnsi="Arial" w:cs="Arial"/>
          <w:i/>
          <w:sz w:val="20"/>
          <w:szCs w:val="20"/>
        </w:rPr>
        <w:t>bierre</w:t>
      </w:r>
      <w:proofErr w:type="spellEnd"/>
      <w:r>
        <w:rPr>
          <w:rFonts w:ascii="Arial" w:hAnsi="Arial" w:cs="Arial"/>
          <w:sz w:val="20"/>
          <w:szCs w:val="20"/>
        </w:rPr>
        <w:t>, Le corps à l’épreuve du droit chez le poète François Villon, in Corps &amp; Droit, des cheveux du mérovingien à l’</w:t>
      </w:r>
      <w:r w:rsidRPr="008E3D54">
        <w:rPr>
          <w:rFonts w:ascii="Arial" w:hAnsi="Arial" w:cs="Arial"/>
          <w:i/>
          <w:sz w:val="20"/>
          <w:szCs w:val="20"/>
        </w:rPr>
        <w:t xml:space="preserve">homo </w:t>
      </w:r>
      <w:proofErr w:type="spellStart"/>
      <w:r w:rsidRPr="008E3D54">
        <w:rPr>
          <w:rFonts w:ascii="Arial" w:hAnsi="Arial" w:cs="Arial"/>
          <w:i/>
          <w:sz w:val="20"/>
          <w:szCs w:val="20"/>
        </w:rPr>
        <w:t>numericus</w:t>
      </w:r>
      <w:proofErr w:type="spellEnd"/>
      <w:r>
        <w:rPr>
          <w:rFonts w:ascii="Arial" w:hAnsi="Arial" w:cs="Arial"/>
          <w:sz w:val="20"/>
          <w:szCs w:val="20"/>
        </w:rPr>
        <w:t>, C. Bouglé-Le Roux (s. d.), Paris, Lexis-</w:t>
      </w:r>
      <w:proofErr w:type="spellStart"/>
      <w:r>
        <w:rPr>
          <w:rFonts w:ascii="Arial" w:hAnsi="Arial" w:cs="Arial"/>
          <w:sz w:val="20"/>
          <w:szCs w:val="20"/>
        </w:rPr>
        <w:t>Nexis</w:t>
      </w:r>
      <w:proofErr w:type="spellEnd"/>
      <w:r>
        <w:rPr>
          <w:rFonts w:ascii="Arial" w:hAnsi="Arial" w:cs="Arial"/>
          <w:sz w:val="20"/>
          <w:szCs w:val="20"/>
        </w:rPr>
        <w:t>, p. 98-116.</w:t>
      </w:r>
    </w:p>
    <w:p w:rsid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Pr="00C97A76" w:rsidRDefault="000E0008" w:rsidP="000E000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97A76">
        <w:rPr>
          <w:rFonts w:ascii="Arial" w:hAnsi="Arial" w:cs="Arial"/>
          <w:sz w:val="20"/>
          <w:szCs w:val="20"/>
        </w:rPr>
        <w:t xml:space="preserve">Recension de G.-D. Guyon, </w:t>
      </w:r>
      <w:r w:rsidRPr="00C97A76">
        <w:rPr>
          <w:rFonts w:ascii="Arial" w:hAnsi="Arial" w:cs="Arial"/>
          <w:i/>
          <w:sz w:val="20"/>
          <w:szCs w:val="20"/>
        </w:rPr>
        <w:t>La justice en questions</w:t>
      </w:r>
      <w:r w:rsidRPr="00C97A76">
        <w:rPr>
          <w:rFonts w:ascii="Arial" w:hAnsi="Arial" w:cs="Arial"/>
          <w:sz w:val="20"/>
          <w:szCs w:val="20"/>
        </w:rPr>
        <w:t xml:space="preserve">, recueil d’articles, </w:t>
      </w:r>
      <w:r>
        <w:rPr>
          <w:rFonts w:ascii="Arial" w:hAnsi="Arial" w:cs="Arial"/>
          <w:sz w:val="20"/>
          <w:szCs w:val="20"/>
        </w:rPr>
        <w:t xml:space="preserve">in </w:t>
      </w:r>
      <w:r w:rsidRPr="00C97A76">
        <w:rPr>
          <w:rFonts w:ascii="Arial" w:hAnsi="Arial" w:cs="Arial"/>
          <w:sz w:val="20"/>
          <w:szCs w:val="20"/>
        </w:rPr>
        <w:t>Cahier de l’Institut d’Anthropologie Juridique, n°40, P.U.L.I.M., 2015, 432 pages, pp. 566-570</w:t>
      </w:r>
      <w:r>
        <w:rPr>
          <w:rFonts w:ascii="Arial" w:hAnsi="Arial" w:cs="Arial"/>
          <w:sz w:val="20"/>
          <w:szCs w:val="20"/>
        </w:rPr>
        <w:t>.</w:t>
      </w:r>
    </w:p>
    <w:p w:rsidR="000E0008" w:rsidRPr="00C97A76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C97A76">
        <w:rPr>
          <w:rFonts w:ascii="Arial" w:hAnsi="Arial" w:cs="Arial"/>
          <w:b/>
          <w:sz w:val="20"/>
          <w:szCs w:val="20"/>
        </w:rPr>
        <w:t xml:space="preserve"> </w:t>
      </w:r>
    </w:p>
    <w:p w:rsidR="000E0008" w:rsidRPr="00C97A76" w:rsidRDefault="000E0008" w:rsidP="000E000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97A76">
        <w:rPr>
          <w:rFonts w:ascii="Arial" w:hAnsi="Arial" w:cs="Arial"/>
          <w:sz w:val="20"/>
          <w:szCs w:val="20"/>
        </w:rPr>
        <w:t xml:space="preserve">« Leçon de méthode », in </w:t>
      </w:r>
      <w:r w:rsidRPr="00C97A76">
        <w:rPr>
          <w:rFonts w:ascii="Arial" w:hAnsi="Arial" w:cs="Arial"/>
          <w:i/>
          <w:sz w:val="20"/>
          <w:szCs w:val="20"/>
        </w:rPr>
        <w:t>Anatole France, Leçons de droit</w:t>
      </w:r>
      <w:r w:rsidRPr="00C97A76">
        <w:rPr>
          <w:rFonts w:ascii="Arial" w:hAnsi="Arial" w:cs="Arial"/>
          <w:sz w:val="20"/>
          <w:szCs w:val="20"/>
        </w:rPr>
        <w:t xml:space="preserve">, Nicolas </w:t>
      </w:r>
      <w:proofErr w:type="spellStart"/>
      <w:r w:rsidRPr="00C97A76">
        <w:rPr>
          <w:rFonts w:ascii="Arial" w:hAnsi="Arial" w:cs="Arial"/>
          <w:sz w:val="20"/>
          <w:szCs w:val="20"/>
        </w:rPr>
        <w:t>Dissaux</w:t>
      </w:r>
      <w:proofErr w:type="spellEnd"/>
      <w:r w:rsidRPr="00C97A7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97A76">
        <w:rPr>
          <w:rFonts w:ascii="Arial" w:hAnsi="Arial" w:cs="Arial"/>
          <w:sz w:val="20"/>
          <w:szCs w:val="20"/>
        </w:rPr>
        <w:t>s.d</w:t>
      </w:r>
      <w:proofErr w:type="spellEnd"/>
      <w:r w:rsidRPr="00C97A76">
        <w:rPr>
          <w:rFonts w:ascii="Arial" w:hAnsi="Arial" w:cs="Arial"/>
          <w:sz w:val="20"/>
          <w:szCs w:val="20"/>
        </w:rPr>
        <w:t>.), Paris, Mare et Martin éditions, 2016, pp. 109-124.</w:t>
      </w:r>
    </w:p>
    <w:p w:rsidR="000E0008" w:rsidRPr="00C97A76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Pr="00C97A76" w:rsidRDefault="000E0008" w:rsidP="000E000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97A76">
        <w:rPr>
          <w:rFonts w:ascii="Arial" w:hAnsi="Arial" w:cs="Arial"/>
          <w:i/>
          <w:sz w:val="20"/>
          <w:szCs w:val="20"/>
        </w:rPr>
        <w:t xml:space="preserve">Vox </w:t>
      </w:r>
      <w:proofErr w:type="spellStart"/>
      <w:r w:rsidRPr="00C97A76">
        <w:rPr>
          <w:rFonts w:ascii="Arial" w:hAnsi="Arial" w:cs="Arial"/>
          <w:i/>
          <w:sz w:val="20"/>
          <w:szCs w:val="20"/>
        </w:rPr>
        <w:t>infans</w:t>
      </w:r>
      <w:proofErr w:type="spellEnd"/>
      <w:r w:rsidRPr="00C97A76">
        <w:rPr>
          <w:rFonts w:ascii="Arial" w:hAnsi="Arial" w:cs="Arial"/>
          <w:sz w:val="20"/>
          <w:szCs w:val="20"/>
        </w:rPr>
        <w:t>, Droit de la Famille, Couple – Enfant – Patrimoine, (</w:t>
      </w:r>
      <w:proofErr w:type="spellStart"/>
      <w:r w:rsidRPr="00C97A76">
        <w:rPr>
          <w:rFonts w:ascii="Arial" w:hAnsi="Arial" w:cs="Arial"/>
          <w:sz w:val="20"/>
          <w:szCs w:val="20"/>
        </w:rPr>
        <w:t>s.d</w:t>
      </w:r>
      <w:proofErr w:type="spellEnd"/>
      <w:r w:rsidRPr="00C97A76">
        <w:rPr>
          <w:rFonts w:ascii="Arial" w:hAnsi="Arial" w:cs="Arial"/>
          <w:sz w:val="20"/>
          <w:szCs w:val="20"/>
        </w:rPr>
        <w:t xml:space="preserve">.) B. </w:t>
      </w:r>
      <w:proofErr w:type="spellStart"/>
      <w:r w:rsidRPr="00C97A76">
        <w:rPr>
          <w:rFonts w:ascii="Arial" w:hAnsi="Arial" w:cs="Arial"/>
          <w:sz w:val="20"/>
          <w:szCs w:val="20"/>
        </w:rPr>
        <w:t>Beignier</w:t>
      </w:r>
      <w:proofErr w:type="spellEnd"/>
      <w:r w:rsidRPr="00C97A76">
        <w:rPr>
          <w:rFonts w:ascii="Arial" w:hAnsi="Arial" w:cs="Arial"/>
          <w:sz w:val="20"/>
          <w:szCs w:val="20"/>
        </w:rPr>
        <w:t xml:space="preserve">, J.-R. Binet, H. </w:t>
      </w:r>
      <w:proofErr w:type="spellStart"/>
      <w:r w:rsidRPr="00C97A76">
        <w:rPr>
          <w:rFonts w:ascii="Arial" w:hAnsi="Arial" w:cs="Arial"/>
          <w:sz w:val="20"/>
          <w:szCs w:val="20"/>
        </w:rPr>
        <w:t>Fulchiron</w:t>
      </w:r>
      <w:proofErr w:type="spellEnd"/>
      <w:r w:rsidRPr="00C97A76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C97A76">
        <w:rPr>
          <w:rFonts w:ascii="Arial" w:hAnsi="Arial" w:cs="Arial"/>
          <w:sz w:val="20"/>
          <w:szCs w:val="20"/>
        </w:rPr>
        <w:t>Nicod</w:t>
      </w:r>
      <w:proofErr w:type="spellEnd"/>
      <w:r w:rsidRPr="00C97A76">
        <w:rPr>
          <w:rFonts w:ascii="Arial" w:hAnsi="Arial" w:cs="Arial"/>
          <w:sz w:val="20"/>
          <w:szCs w:val="20"/>
        </w:rPr>
        <w:t>, mars 2016, p. 7.</w:t>
      </w: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« </w:t>
      </w:r>
      <w:r w:rsidRPr="00C97A76">
        <w:rPr>
          <w:rFonts w:ascii="Arial" w:eastAsia="Times New Roman" w:hAnsi="Arial" w:cs="Arial"/>
          <w:bCs/>
          <w:i/>
          <w:sz w:val="20"/>
          <w:szCs w:val="20"/>
          <w:lang w:eastAsia="fr-FR"/>
        </w:rPr>
        <w:t>Du temps que les bêtes parlaient  […]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 : le contrat, du Code civil aux contes populaires », in </w:t>
      </w:r>
      <w:r w:rsidRPr="00C97A76">
        <w:rPr>
          <w:rFonts w:ascii="Arial" w:eastAsia="Times New Roman" w:hAnsi="Arial" w:cs="Arial"/>
          <w:bCs/>
          <w:i/>
          <w:sz w:val="20"/>
          <w:szCs w:val="20"/>
          <w:lang w:eastAsia="fr-FR"/>
        </w:rPr>
        <w:t>Aux confins du droit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</w:t>
      </w:r>
      <w:r w:rsidRPr="00C97A76">
        <w:rPr>
          <w:rFonts w:ascii="Arial" w:eastAsia="Times New Roman" w:hAnsi="Arial" w:cs="Arial"/>
          <w:bCs/>
          <w:i/>
          <w:sz w:val="20"/>
          <w:szCs w:val="20"/>
          <w:lang w:eastAsia="fr-FR"/>
        </w:rPr>
        <w:t>Mélanges Xavier Martin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, L.G.D.J.-</w:t>
      </w:r>
      <w:proofErr w:type="spellStart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Lextenso</w:t>
      </w:r>
      <w:proofErr w:type="spellEnd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éditions, 2015, pp. 81-95.</w:t>
      </w:r>
    </w:p>
    <w:p w:rsidR="000E0008" w:rsidRPr="00C97A76" w:rsidRDefault="000E0008" w:rsidP="000E0008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Contributions au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Dictionnaire Juristes écrivains et écrivains juristes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, (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s.d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.) B.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Méniel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, Paris, éd. Classiques Garnier, 2016, v° « Corneille »,  « Fléchier », « Linguet », « Perrault ».</w:t>
      </w:r>
    </w:p>
    <w:p w:rsidR="000E0008" w:rsidRPr="00C97A76" w:rsidRDefault="000E0008" w:rsidP="000E000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« Souvenirs de prison et utopie carcérale : oisiveté et travail derrière les barreaux des Lumières à la Révolution française », in </w:t>
      </w:r>
      <w:r w:rsidRPr="00C97A76">
        <w:rPr>
          <w:rFonts w:ascii="Arial" w:eastAsia="Times New Roman" w:hAnsi="Arial" w:cs="Arial"/>
          <w:bCs/>
          <w:i/>
          <w:sz w:val="20"/>
          <w:szCs w:val="20"/>
          <w:lang w:eastAsia="fr-FR"/>
        </w:rPr>
        <w:t>Le travail en prison, mise en perspectives d’une problématique contemporaine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, (</w:t>
      </w:r>
      <w:proofErr w:type="spellStart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s.d</w:t>
      </w:r>
      <w:proofErr w:type="spellEnd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.) R. Eckert et J.-M. </w:t>
      </w:r>
      <w:proofErr w:type="spellStart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Tufféry</w:t>
      </w:r>
      <w:proofErr w:type="spellEnd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-Andrieu, Presses universitaires de Strasbourg, Strasbourg, 2015, pp. 13-24.</w:t>
      </w:r>
    </w:p>
    <w:p w:rsidR="000E0008" w:rsidRPr="00C97A76" w:rsidRDefault="000E0008" w:rsidP="000E0008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« 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Vitalité des recherches en histoire du droit pénal. Eléments de preuve », en collaboration avec R. Eckert, M.-C. </w:t>
      </w:r>
      <w:proofErr w:type="spellStart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Lault</w:t>
      </w:r>
      <w:proofErr w:type="spellEnd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F. Desnos, B. </w:t>
      </w:r>
      <w:proofErr w:type="spellStart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Buet-Hervouët</w:t>
      </w:r>
      <w:proofErr w:type="spellEnd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 in </w:t>
      </w:r>
      <w:r w:rsidRPr="00C97A76">
        <w:rPr>
          <w:rFonts w:ascii="Arial" w:eastAsia="Times New Roman" w:hAnsi="Arial" w:cs="Arial"/>
          <w:bCs/>
          <w:i/>
          <w:sz w:val="20"/>
          <w:szCs w:val="20"/>
          <w:lang w:eastAsia="fr-FR"/>
        </w:rPr>
        <w:t>Actualités de la recherche en histoire du droit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, (</w:t>
      </w:r>
      <w:proofErr w:type="spellStart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s.d</w:t>
      </w:r>
      <w:proofErr w:type="spellEnd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.) J. </w:t>
      </w:r>
      <w:proofErr w:type="spellStart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Krynen</w:t>
      </w:r>
      <w:proofErr w:type="spellEnd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et B. d’</w:t>
      </w:r>
      <w:proofErr w:type="spellStart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Alteroche</w:t>
      </w:r>
      <w:proofErr w:type="spellEnd"/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, éd. Garnier classiques, Paris, 2014, p. 327-345.</w:t>
      </w:r>
    </w:p>
    <w:p w:rsidR="000E0008" w:rsidRPr="00C97A76" w:rsidRDefault="000E0008" w:rsidP="000E0008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« ‘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U par </w:t>
      </w:r>
      <w:proofErr w:type="spellStart"/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juïse</w:t>
      </w:r>
      <w:proofErr w:type="spellEnd"/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, U par bataille’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, Les preuves dans le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Roman de </w:t>
      </w:r>
      <w:proofErr w:type="spellStart"/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Renart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 », in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L’évolution des modes de preuves, du duel de </w:t>
      </w:r>
      <w:proofErr w:type="spellStart"/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Carrouges</w:t>
      </w:r>
      <w:proofErr w:type="spellEnd"/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à nos jours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, Actes du Colloque du Château de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Carrouges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du 5 avril 2013, (s. d.) B.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Hervouët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, 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Pulim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, Limoges, 2014, p. 17-42.</w:t>
      </w:r>
    </w:p>
    <w:p w:rsidR="000E0008" w:rsidRPr="00C97A76" w:rsidRDefault="000E0008" w:rsidP="000E000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« La littérature est le révélateur de la poésie de notre droit français », </w:t>
      </w:r>
      <w:r w:rsidRPr="00C97A76">
        <w:rPr>
          <w:rFonts w:ascii="Arial" w:eastAsia="Times New Roman" w:hAnsi="Arial" w:cs="Arial"/>
          <w:bCs/>
          <w:i/>
          <w:sz w:val="20"/>
          <w:szCs w:val="20"/>
          <w:lang w:eastAsia="fr-FR"/>
        </w:rPr>
        <w:t>La Semaine du droit, L’entretien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, J.C.P. 2013, I 1367.</w:t>
      </w:r>
    </w:p>
    <w:p w:rsidR="000E0008" w:rsidRPr="00C97A76" w:rsidRDefault="000E0008" w:rsidP="000E000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« Eloge de la désuétude.  La belle endormie  au XIXe siècle », in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La désuétude, entre oubli et mort du droit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, textes réunis par L.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Guéraud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,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Pulim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, Limoges, 2013, p. 179-200.</w:t>
      </w:r>
    </w:p>
    <w:p w:rsidR="000E0008" w:rsidRPr="00C97A76" w:rsidRDefault="000E0008" w:rsidP="000E000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« Le Code d’instruction criminelle de 1808 », in </w:t>
      </w:r>
      <w:r w:rsidRPr="00C97A76">
        <w:rPr>
          <w:rFonts w:ascii="Arial" w:eastAsia="Times New Roman" w:hAnsi="Arial" w:cs="Arial"/>
          <w:i/>
          <w:sz w:val="20"/>
          <w:szCs w:val="20"/>
          <w:lang w:eastAsia="fr-FR"/>
        </w:rPr>
        <w:t>La procédure et la construction de l’Etat en Europe (XVIe-XIXe siècle)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Pr="00C97A76">
        <w:rPr>
          <w:rFonts w:ascii="Arial" w:eastAsia="Times New Roman" w:hAnsi="Arial" w:cs="Arial"/>
          <w:i/>
          <w:sz w:val="20"/>
          <w:szCs w:val="20"/>
          <w:lang w:eastAsia="fr-FR"/>
        </w:rPr>
        <w:t>Recueil de textes, présentés et commentés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>, (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s.d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) J. 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Hautebert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 et S. Soleil, P.U. de Rennes, 2011, p. 603-662.</w:t>
      </w:r>
    </w:p>
    <w:p w:rsidR="000E0008" w:rsidRPr="00C97A76" w:rsidRDefault="000E0008" w:rsidP="000E000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« L’hermine et la pourpre. La Cour souveraine de Rennes et la Cour de cassation</w:t>
      </w:r>
      <w:r w:rsidRPr="00C97A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»,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 in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Le pouvoir et la foi au Moyen-Age en Bretagne et dans l’Europe de l’Ouest, Mélanges en l’honneur du Professeur Hubert </w:t>
      </w:r>
      <w:proofErr w:type="spellStart"/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Guillotel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>, P.U.R., 2010, pp. 417- 433.</w:t>
      </w:r>
    </w:p>
    <w:p w:rsidR="000E0008" w:rsidRPr="00C97A76" w:rsidRDefault="000E0008" w:rsidP="000E000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« Se saisir des méchants » ou régénérer leurs âmes ? : la lettre et l’esprit du Code d’instruction criminelle »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, in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Modèles français, enjeux politiques et élaboration des grands textes de procédure en Europe,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s.d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.) J. 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Hautebert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 et S. Soleil, t. II, Editions juridiques et techniques, Paris, 2008, pp. 35-49. </w:t>
      </w:r>
    </w:p>
    <w:p w:rsidR="000E0008" w:rsidRPr="00C97A76" w:rsidRDefault="000E0008" w:rsidP="000E0008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« « Par le Code pénal, au-delà du Code pénal », le pouvoir créateur du juge de cassation au XIXème siècle »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, dans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Normes juridiques et pratiques judiciaires du Moyen-Age à l’époque contemporaine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s.d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.) Benoît 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Garnot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>, Dijon, EUD, 2007, 15 pages.</w:t>
      </w:r>
    </w:p>
    <w:p w:rsidR="000E0008" w:rsidRPr="00C97A76" w:rsidRDefault="000E0008" w:rsidP="000E000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« Au cœur des traditions mystérieuses de la Cour de cassation »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Dalloz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, D. 3 août 2006, 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Chron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 1991-1996.</w:t>
      </w:r>
    </w:p>
    <w:p w:rsidR="000E0008" w:rsidRPr="00C97A76" w:rsidRDefault="000E0008" w:rsidP="000E000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« Veau, vache, cochon, couvée ». Le Code rural et la Cour de cassation : « de l’impossible Code rural au Code pénal ventriloque »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, in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Terre, forêt et droit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>, (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s.d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.) Christian Dugas de la 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Boissonny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>, Presses universitaires de Nancy, 2006, pp. 89-104.</w:t>
      </w:r>
    </w:p>
    <w:p w:rsidR="000E0008" w:rsidRPr="00C97A76" w:rsidRDefault="000E0008" w:rsidP="000E000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« Tes père et mère honoreras ! » Une politique pénale au service du chef de famille (1811-1824)</w:t>
      </w:r>
      <w:r w:rsidRPr="00C97A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C97A76">
        <w:rPr>
          <w:rFonts w:ascii="Arial" w:eastAsia="Times New Roman" w:hAnsi="Arial" w:cs="Arial"/>
          <w:bCs/>
          <w:sz w:val="20"/>
          <w:szCs w:val="20"/>
          <w:lang w:eastAsia="fr-FR"/>
        </w:rPr>
        <w:t>»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, in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Ordre et désordre dans les familles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s.d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.) C. </w:t>
      </w:r>
      <w:proofErr w:type="spellStart"/>
      <w:r w:rsidRPr="00C97A76">
        <w:rPr>
          <w:rFonts w:ascii="Arial" w:eastAsia="Times New Roman" w:hAnsi="Arial" w:cs="Arial"/>
          <w:sz w:val="20"/>
          <w:szCs w:val="20"/>
          <w:lang w:eastAsia="fr-FR"/>
        </w:rPr>
        <w:t>Plessix-Buisset</w:t>
      </w:r>
      <w:proofErr w:type="spellEnd"/>
      <w:r w:rsidRPr="00C97A76">
        <w:rPr>
          <w:rFonts w:ascii="Arial" w:eastAsia="Times New Roman" w:hAnsi="Arial" w:cs="Arial"/>
          <w:sz w:val="20"/>
          <w:szCs w:val="20"/>
          <w:lang w:eastAsia="fr-FR"/>
        </w:rPr>
        <w:t>, Rennes, PUR, 2002, pp. 65-82.</w:t>
      </w:r>
    </w:p>
    <w:p w:rsidR="000E0008" w:rsidRPr="00C97A76" w:rsidRDefault="000E0008" w:rsidP="000E000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1F6151" w:rsidRDefault="000E0008" w:rsidP="000E0008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0E0008" w:rsidRPr="001F6151" w:rsidRDefault="000E0008" w:rsidP="000E0008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fr-FR"/>
        </w:rPr>
      </w:pPr>
      <w:r w:rsidRPr="001F6151">
        <w:rPr>
          <w:rFonts w:ascii="Arial" w:eastAsia="Times New Roman" w:hAnsi="Arial" w:cs="Arial"/>
          <w:sz w:val="16"/>
          <w:szCs w:val="16"/>
          <w:lang w:eastAsia="fr-FR"/>
        </w:rPr>
        <w:br/>
      </w:r>
    </w:p>
    <w:p w:rsidR="000E0008" w:rsidRPr="001F6151" w:rsidRDefault="000E0008" w:rsidP="000E000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1F6151" w:rsidRDefault="000E0008" w:rsidP="000E000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1F6151" w:rsidRDefault="000E0008" w:rsidP="000E000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1F615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Communications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</w:p>
    <w:p w:rsidR="000E0008" w:rsidRDefault="000E0008" w:rsidP="000E0008">
      <w:pPr>
        <w:pStyle w:val="Paragraphedeliste"/>
        <w:jc w:val="both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  <w:r w:rsidRPr="001F6151">
        <w:rPr>
          <w:rFonts w:ascii="Arial" w:eastAsia="Times New Roman" w:hAnsi="Arial" w:cs="Arial"/>
          <w:sz w:val="16"/>
          <w:szCs w:val="16"/>
          <w:lang w:eastAsia="fr-FR"/>
        </w:rPr>
        <w:br/>
      </w:r>
      <w:r>
        <w:rPr>
          <w:rFonts w:ascii="Arial" w:eastAsia="Times New Roman" w:hAnsi="Arial" w:cs="Arial"/>
          <w:b/>
          <w:iCs/>
          <w:sz w:val="20"/>
          <w:szCs w:val="20"/>
          <w:lang w:eastAsia="fr-FR"/>
        </w:rPr>
        <w:t>2019</w:t>
      </w:r>
    </w:p>
    <w:p w:rsidR="000E0008" w:rsidRPr="00D46D45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Default="000E0008" w:rsidP="000E000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Inaliénabilité et restitution, table-ronde </w:t>
      </w:r>
      <w:r w:rsidR="00875189">
        <w:rPr>
          <w:rFonts w:ascii="Arial" w:hAnsi="Arial" w:cs="Arial"/>
          <w:sz w:val="20"/>
          <w:szCs w:val="20"/>
        </w:rPr>
        <w:t>organisée par la Compagnie nationale des Experts au sujet d</w:t>
      </w:r>
      <w:r>
        <w:rPr>
          <w:rFonts w:ascii="Arial" w:hAnsi="Arial" w:cs="Arial"/>
          <w:sz w:val="20"/>
          <w:szCs w:val="20"/>
        </w:rPr>
        <w:t>es restitutions, le 27 novembre 2019, Mairie du 6</w:t>
      </w:r>
      <w:r w:rsidRPr="000E0008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arrondissement.</w:t>
      </w:r>
    </w:p>
    <w:p w:rsidR="00875189" w:rsidRPr="000E0008" w:rsidRDefault="00875189" w:rsidP="00875189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Default="000E0008" w:rsidP="000E000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17E86">
        <w:rPr>
          <w:rFonts w:ascii="Arial" w:hAnsi="Arial" w:cs="Arial"/>
          <w:i/>
          <w:sz w:val="20"/>
          <w:szCs w:val="20"/>
        </w:rPr>
        <w:t xml:space="preserve">Faut-il rendre le fétiche de l’Oreille cassée aux Indiens </w:t>
      </w:r>
      <w:proofErr w:type="spellStart"/>
      <w:r w:rsidRPr="00617E86">
        <w:rPr>
          <w:rFonts w:ascii="Arial" w:hAnsi="Arial" w:cs="Arial"/>
          <w:i/>
          <w:sz w:val="20"/>
          <w:szCs w:val="20"/>
        </w:rPr>
        <w:t>Arumbayas</w:t>
      </w:r>
      <w:proofErr w:type="spellEnd"/>
      <w:r>
        <w:rPr>
          <w:rFonts w:ascii="Arial" w:hAnsi="Arial" w:cs="Arial"/>
          <w:sz w:val="20"/>
          <w:szCs w:val="20"/>
        </w:rPr>
        <w:t>, réflexions sur la question des restitutions des biens à leur pays d’origine face au principe d’inaliénabilité à partir des Albums de Tintin, Journée de Nanterre, A qui appartiennent les collections 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uséales ?, 7 février 2019.</w:t>
      </w:r>
    </w:p>
    <w:p w:rsidR="000E0008" w:rsidRPr="00D46D45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Default="000E0008" w:rsidP="000E0008">
      <w:pPr>
        <w:pStyle w:val="Paragraphedeliste"/>
        <w:jc w:val="both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  <w:r w:rsidRPr="00617E86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2018</w:t>
      </w:r>
    </w:p>
    <w:p w:rsid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Default="000E0008" w:rsidP="000E000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 Joseph-Marie Portalis, Les audaces d’une présidence (1824-1829) », in Colloque Joseph-Marie Portalis, diplomate, magistrat et législateur, à la Cour de cassation et au Conseil d’Etat, (s. d.) N.-L. Bonne et R. </w:t>
      </w:r>
      <w:proofErr w:type="spellStart"/>
      <w:r>
        <w:rPr>
          <w:rFonts w:ascii="Arial" w:hAnsi="Arial" w:cs="Arial"/>
          <w:sz w:val="20"/>
          <w:szCs w:val="20"/>
        </w:rPr>
        <w:t>Cahen</w:t>
      </w:r>
      <w:proofErr w:type="spellEnd"/>
      <w:r>
        <w:rPr>
          <w:rFonts w:ascii="Arial" w:hAnsi="Arial" w:cs="Arial"/>
          <w:sz w:val="20"/>
          <w:szCs w:val="20"/>
        </w:rPr>
        <w:t>, 13 et 14 décembre 2018.</w:t>
      </w:r>
    </w:p>
    <w:p w:rsid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Pr="00D46D45" w:rsidRDefault="000E0008" w:rsidP="000E0008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  <w:r w:rsidRPr="00D46D45">
        <w:rPr>
          <w:rFonts w:ascii="Arial" w:hAnsi="Arial" w:cs="Arial"/>
          <w:b/>
          <w:sz w:val="20"/>
          <w:szCs w:val="20"/>
        </w:rPr>
        <w:t>2015</w:t>
      </w:r>
    </w:p>
    <w:p w:rsid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Pr="009B093E" w:rsidRDefault="000E0008" w:rsidP="000E000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97A76">
        <w:rPr>
          <w:rFonts w:ascii="Arial" w:eastAsia="Times New Roman" w:hAnsi="Arial" w:cs="Arial"/>
          <w:i/>
          <w:sz w:val="20"/>
          <w:szCs w:val="20"/>
          <w:lang w:eastAsia="fr-FR"/>
        </w:rPr>
        <w:t>« Femmes ont voix et répons en court et si reçoivent mises et arbitrages ».</w:t>
      </w:r>
      <w:r w:rsidRPr="00C97A76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 </w:t>
      </w:r>
      <w:r w:rsidRPr="00C97A76">
        <w:rPr>
          <w:rFonts w:ascii="Arial" w:eastAsia="Times New Roman" w:hAnsi="Arial" w:cs="Arial"/>
          <w:i/>
          <w:sz w:val="20"/>
          <w:szCs w:val="20"/>
          <w:lang w:eastAsia="fr-FR"/>
        </w:rPr>
        <w:t>La femme arbitre, apport d’une controverse au discours sur la fem</w:t>
      </w:r>
      <w:r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me chez les civilistes français, 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>journée d’études à dest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ination des membres du M.A.C.I., Chambre de Commerce de Paris, 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>mai 2015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0008" w:rsidRDefault="000E0008" w:rsidP="000E000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97A76">
        <w:rPr>
          <w:rFonts w:ascii="Arial" w:hAnsi="Arial" w:cs="Arial"/>
          <w:i/>
          <w:sz w:val="20"/>
          <w:szCs w:val="20"/>
        </w:rPr>
        <w:t xml:space="preserve">Vox </w:t>
      </w:r>
      <w:proofErr w:type="spellStart"/>
      <w:r w:rsidRPr="00C97A76">
        <w:rPr>
          <w:rFonts w:ascii="Arial" w:hAnsi="Arial" w:cs="Arial"/>
          <w:i/>
          <w:sz w:val="20"/>
          <w:szCs w:val="20"/>
        </w:rPr>
        <w:t>infans</w:t>
      </w:r>
      <w:proofErr w:type="spellEnd"/>
      <w:r w:rsidRPr="00C97A7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communication à une journée d’études sur la vois de l’enfant en justice, TGI de Versailles, avril 2015</w:t>
      </w:r>
    </w:p>
    <w:p w:rsidR="000E0008" w:rsidRDefault="000E0008" w:rsidP="000E0008">
      <w:pPr>
        <w:pStyle w:val="Paragraphedeliste"/>
        <w:jc w:val="both"/>
        <w:rPr>
          <w:rFonts w:ascii="Arial" w:hAnsi="Arial" w:cs="Arial"/>
          <w:i/>
          <w:sz w:val="20"/>
          <w:szCs w:val="20"/>
        </w:rPr>
      </w:pPr>
    </w:p>
    <w:p w:rsidR="000E0008" w:rsidRPr="00D46D45" w:rsidRDefault="000E0008" w:rsidP="000E0008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2014</w:t>
      </w:r>
    </w:p>
    <w:p w:rsidR="000E0008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« Souvenirs de prison : oisiveté et travail derrière les barreaux des Lumières à la Révolution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 », Colloque de Strasbourg, Communication au Colloque des 7 et 8 janvier 2014, Le travail en prison. Mise en perspective d’une problématique contemporaine.</w:t>
      </w:r>
    </w:p>
    <w:p w:rsidR="000E0008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</w:p>
    <w:p w:rsidR="000E0008" w:rsidRPr="00C97A76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fr-FR"/>
        </w:rPr>
        <w:t>2013</w:t>
      </w:r>
    </w:p>
    <w:p w:rsidR="000E0008" w:rsidRPr="00C97A76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/>
          <w:iCs/>
          <w:sz w:val="20"/>
          <w:szCs w:val="20"/>
          <w:lang w:eastAsia="fr-FR"/>
        </w:rPr>
        <w:t xml:space="preserve">« L’évolution des modes de preuve dans le </w:t>
      </w:r>
      <w:r w:rsidRPr="008E3D54">
        <w:rPr>
          <w:rFonts w:ascii="Arial" w:eastAsia="Times New Roman" w:hAnsi="Arial" w:cs="Arial"/>
          <w:b/>
          <w:i/>
          <w:iCs/>
          <w:sz w:val="20"/>
          <w:szCs w:val="20"/>
          <w:lang w:eastAsia="fr-FR"/>
        </w:rPr>
        <w:t xml:space="preserve">Roman de </w:t>
      </w:r>
      <w:proofErr w:type="spellStart"/>
      <w:r w:rsidRPr="008E3D54">
        <w:rPr>
          <w:rFonts w:ascii="Arial" w:eastAsia="Times New Roman" w:hAnsi="Arial" w:cs="Arial"/>
          <w:b/>
          <w:i/>
          <w:iCs/>
          <w:sz w:val="20"/>
          <w:szCs w:val="20"/>
          <w:lang w:eastAsia="fr-FR"/>
        </w:rPr>
        <w:t>Renart</w:t>
      </w:r>
      <w:proofErr w:type="spellEnd"/>
      <w:r w:rsidRPr="00C97A76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 »,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Communication au colloque international de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Carrouges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sur 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L’évolution des modes de preuves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, du duel de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Carrouges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à nos jours, 5 avril 2013</w:t>
      </w:r>
    </w:p>
    <w:p w:rsidR="000E0008" w:rsidRPr="00C97A76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« </w:t>
      </w:r>
      <w:r w:rsidRPr="00C97A76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Le jus commune</w:t>
      </w:r>
      <w:r>
        <w:rPr>
          <w:rFonts w:ascii="Arial" w:eastAsia="Times New Roman" w:hAnsi="Arial" w:cs="Arial"/>
          <w:b/>
          <w:iCs/>
          <w:sz w:val="20"/>
          <w:szCs w:val="20"/>
          <w:lang w:eastAsia="fr-FR"/>
        </w:rPr>
        <w:t> »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, éléments d’explication », conférence tenue devant les doctorants de la Faculté de droit de Versailles, avril 2013.</w:t>
      </w:r>
    </w:p>
    <w:p w:rsidR="000E0008" w:rsidRPr="00C97A76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« La désuétude au XIXe siècle, ou le réveil de la belle endormie »,</w:t>
      </w:r>
      <w:r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Journée d’études de Limoges d’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octobre 2013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consacrée à</w:t>
      </w:r>
      <w:r w:rsidRPr="00C97A76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La désuétude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.</w:t>
      </w:r>
    </w:p>
    <w:p w:rsidR="000E0008" w:rsidRPr="00C97A76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« </w:t>
      </w:r>
      <w:r w:rsidRPr="00C97A76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Vitalité des recherches en histoire du droit pénal »</w:t>
      </w:r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, Bilan de la recherche en histoire du droit, Journée d’études de Versailles,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s.d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. J. 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Krynen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et B. d’</w:t>
      </w:r>
      <w:proofErr w:type="spellStart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Alteroche</w:t>
      </w:r>
      <w:proofErr w:type="spellEnd"/>
      <w:r w:rsidRPr="00C97A76">
        <w:rPr>
          <w:rFonts w:ascii="Arial" w:eastAsia="Times New Roman" w:hAnsi="Arial" w:cs="Arial"/>
          <w:iCs/>
          <w:sz w:val="20"/>
          <w:szCs w:val="20"/>
          <w:lang w:eastAsia="fr-FR"/>
        </w:rPr>
        <w:t>, janvier 2013.</w:t>
      </w:r>
    </w:p>
    <w:p w:rsidR="000E0008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Pr="00D46D45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  <w:r w:rsidRPr="00D46D45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2008</w:t>
      </w:r>
    </w:p>
    <w:p w:rsidR="000E0008" w:rsidRPr="00C97A76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« A travers les sources du droit des contrats : du code civil aux contes populaires »</w:t>
      </w:r>
      <w:r>
        <w:rPr>
          <w:rFonts w:ascii="Arial" w:eastAsia="Times New Roman" w:hAnsi="Arial" w:cs="Arial"/>
          <w:sz w:val="20"/>
          <w:szCs w:val="20"/>
          <w:lang w:eastAsia="fr-FR"/>
        </w:rPr>
        <w:t>, C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>onférence donnée à la Faculté de Droit d’Angers dans le cadre du cycle de conférences du Centre Jean Bodin, mars 2008.</w:t>
      </w:r>
    </w:p>
    <w:p w:rsidR="000E0008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0E0008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46D45">
        <w:rPr>
          <w:rFonts w:ascii="Arial" w:eastAsia="Times New Roman" w:hAnsi="Arial" w:cs="Arial"/>
          <w:b/>
          <w:sz w:val="20"/>
          <w:szCs w:val="20"/>
          <w:lang w:eastAsia="fr-FR"/>
        </w:rPr>
        <w:t>2007</w:t>
      </w:r>
    </w:p>
    <w:p w:rsidR="000E0008" w:rsidRPr="00D46D45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0E0008" w:rsidRPr="00D46D45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« Se saisir des méchants » ou régénérer leurs âmes ? : la lettre et l’esprit du Code d’instruction criminelle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>, Communication dans le cadre du colloque « Modèles français, enjeux politiques et élaboration des grands textes de procédure en Europe », novembre 2007.</w:t>
      </w:r>
    </w:p>
    <w:p w:rsidR="000E0008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0E0008" w:rsidRPr="00C97A76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2006</w:t>
      </w:r>
    </w:p>
    <w:p w:rsidR="000E0008" w:rsidRPr="00C97A76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0E0008" w:rsidRPr="00C97A76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« « Par le Code pénal, au-delà du Code pénal », le pouvoir créateur du juge de cassation au XIXème siècle »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 xml:space="preserve">, Communication dans le cadre du colloque </w:t>
      </w:r>
      <w:r w:rsidRPr="00C97A76">
        <w:rPr>
          <w:rFonts w:ascii="Arial" w:eastAsia="Times New Roman" w:hAnsi="Arial" w:cs="Arial"/>
          <w:i/>
          <w:sz w:val="20"/>
          <w:szCs w:val="20"/>
          <w:lang w:eastAsia="fr-FR"/>
        </w:rPr>
        <w:t>Normes juridiques et pratiques judiciaires du Moyen Age à l’époque contemporaine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>, Centre Georges Chevrier, 2006.</w:t>
      </w:r>
    </w:p>
    <w:p w:rsidR="000E0008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0E0008" w:rsidRPr="00D46D45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46D45">
        <w:rPr>
          <w:rFonts w:ascii="Arial" w:eastAsia="Times New Roman" w:hAnsi="Arial" w:cs="Arial"/>
          <w:b/>
          <w:sz w:val="20"/>
          <w:szCs w:val="20"/>
          <w:lang w:eastAsia="fr-FR"/>
        </w:rPr>
        <w:t>2005</w:t>
      </w:r>
    </w:p>
    <w:p w:rsidR="000E0008" w:rsidRPr="00C97A76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0E0008" w:rsidRPr="00D46D45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«  L’hermine et la pourpre : la Cour royale de Rennes face à la Cour de cassation au XIXème siècle »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>, Communication dans le cadre du colloque international Pays de Galles/France à Rennes et au Pays de Galles, 2005.</w:t>
      </w:r>
    </w:p>
    <w:p w:rsidR="000E0008" w:rsidRDefault="000E0008" w:rsidP="000E000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Default="000E0008" w:rsidP="000E000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Default="000E0008" w:rsidP="000E000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Pr="00D46D45" w:rsidRDefault="000E0008" w:rsidP="000E000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fr-FR"/>
        </w:rPr>
        <w:tab/>
      </w:r>
      <w:r w:rsidRPr="00D46D45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2002</w:t>
      </w:r>
    </w:p>
    <w:p w:rsidR="000E0008" w:rsidRPr="00C97A76" w:rsidRDefault="000E0008" w:rsidP="000E000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0E0008" w:rsidRPr="000E0008" w:rsidRDefault="000E0008" w:rsidP="000E00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C97A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« Veau, vache, cochon, couvée ». Le Code rural et la Cour de cassation : « de l’impossible Code rural au Code pénal ventriloque »</w:t>
      </w:r>
      <w:r w:rsidRPr="00C97A76">
        <w:rPr>
          <w:rFonts w:ascii="Arial" w:eastAsia="Times New Roman" w:hAnsi="Arial" w:cs="Arial"/>
          <w:sz w:val="20"/>
          <w:szCs w:val="20"/>
          <w:lang w:eastAsia="fr-FR"/>
        </w:rPr>
        <w:t>, Communication dans le cadre des Journées Internationales de la Société d’Histoire du Droit à Nancy, 2002.</w:t>
      </w:r>
    </w:p>
    <w:p w:rsidR="000E0008" w:rsidRPr="00C97A76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Pr="00C97A76" w:rsidRDefault="000E0008" w:rsidP="000E0008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0E0008" w:rsidRDefault="000E0008" w:rsidP="000E00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Organisation de colloques et de conférences</w:t>
      </w:r>
    </w:p>
    <w:p w:rsidR="000E0008" w:rsidRPr="00C97A76" w:rsidRDefault="000E0008" w:rsidP="000E0008">
      <w:pPr>
        <w:jc w:val="center"/>
        <w:rPr>
          <w:sz w:val="20"/>
          <w:szCs w:val="20"/>
        </w:rPr>
      </w:pPr>
    </w:p>
    <w:p w:rsidR="000E0008" w:rsidRDefault="000E0008" w:rsidP="000E000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Organisation d’une conférence ina</w:t>
      </w:r>
      <w:r>
        <w:rPr>
          <w:rFonts w:ascii="Arial" w:hAnsi="Arial" w:cs="Arial"/>
          <w:sz w:val="20"/>
          <w:szCs w:val="20"/>
        </w:rPr>
        <w:t>ugurale (Collège de Droit) sur L</w:t>
      </w:r>
      <w:r>
        <w:rPr>
          <w:rFonts w:ascii="Arial" w:hAnsi="Arial" w:cs="Arial"/>
          <w:sz w:val="20"/>
          <w:szCs w:val="20"/>
        </w:rPr>
        <w:t>es restitutions des biens culturels au Bénin, avec la participation croisée de Philippe Charlier, Directeur du département du MQB, Xavier Perrot, Professeur d’Histoire du Droit à l’Université de Limoges et Clémentine Bories, Maître de conférences HDR à l’Université de Nanterre, mai 2019</w:t>
      </w:r>
    </w:p>
    <w:p w:rsidR="000E0008" w:rsidRPr="009B093E" w:rsidRDefault="000E0008" w:rsidP="000E000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Organisation d’une conférence inaugurale (Collège de Droit) sur</w:t>
      </w:r>
      <w:r>
        <w:rPr>
          <w:rFonts w:ascii="Arial" w:hAnsi="Arial" w:cs="Arial"/>
          <w:sz w:val="20"/>
          <w:szCs w:val="20"/>
        </w:rPr>
        <w:t xml:space="preserve"> Le juge-robot,</w:t>
      </w:r>
      <w:r>
        <w:rPr>
          <w:rFonts w:ascii="Arial" w:hAnsi="Arial" w:cs="Arial"/>
          <w:sz w:val="20"/>
          <w:szCs w:val="20"/>
        </w:rPr>
        <w:t xml:space="preserve"> avec la participation de Vincent Vigneau, magistrat à la Cour de cassation, mai 2018</w:t>
      </w:r>
    </w:p>
    <w:p w:rsidR="000E0008" w:rsidRDefault="000E0008" w:rsidP="000E000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Organisation d’une conférence inaugurale (Collège de Droit) sur</w:t>
      </w:r>
      <w:r>
        <w:rPr>
          <w:rFonts w:ascii="Arial" w:hAnsi="Arial" w:cs="Arial"/>
          <w:sz w:val="20"/>
          <w:szCs w:val="20"/>
        </w:rPr>
        <w:t xml:space="preserve"> le thème ‘ce que doit à l’opéra notre droit de la culture’</w:t>
      </w:r>
      <w:r>
        <w:rPr>
          <w:rFonts w:ascii="Arial" w:hAnsi="Arial" w:cs="Arial"/>
          <w:sz w:val="20"/>
          <w:szCs w:val="20"/>
        </w:rPr>
        <w:t>, par Franck Monnier, MCF Histoire du Droit à Versailles Saint Quentin en Yvelines, mai 2017</w:t>
      </w:r>
    </w:p>
    <w:p w:rsidR="000E0008" w:rsidRDefault="000E0008" w:rsidP="000E000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Organisation d’une journée</w:t>
      </w:r>
      <w:r w:rsidRPr="00C97A76">
        <w:rPr>
          <w:rFonts w:ascii="Arial" w:hAnsi="Arial" w:cs="Arial"/>
          <w:sz w:val="20"/>
          <w:szCs w:val="20"/>
        </w:rPr>
        <w:t xml:space="preserve"> d’études Corps &amp; Droit, </w:t>
      </w:r>
      <w:r w:rsidRPr="00C97A76">
        <w:rPr>
          <w:rFonts w:ascii="Arial" w:hAnsi="Arial" w:cs="Arial"/>
          <w:i/>
          <w:sz w:val="20"/>
          <w:szCs w:val="20"/>
        </w:rPr>
        <w:t xml:space="preserve">des funérailles royales au </w:t>
      </w:r>
      <w:proofErr w:type="spellStart"/>
      <w:r w:rsidRPr="00C97A76">
        <w:rPr>
          <w:rFonts w:ascii="Arial" w:hAnsi="Arial" w:cs="Arial"/>
          <w:i/>
          <w:sz w:val="20"/>
          <w:szCs w:val="20"/>
        </w:rPr>
        <w:t>transhumanisme</w:t>
      </w:r>
      <w:proofErr w:type="spellEnd"/>
      <w:r w:rsidRPr="00C97A76">
        <w:rPr>
          <w:rFonts w:ascii="Arial" w:hAnsi="Arial" w:cs="Arial"/>
          <w:sz w:val="20"/>
          <w:szCs w:val="20"/>
        </w:rPr>
        <w:t>, jeudi 18 février 2016 en collaboration avec le Professeur Sophie Petit-Renaud.</w:t>
      </w:r>
    </w:p>
    <w:p w:rsidR="000E0008" w:rsidRDefault="000E0008" w:rsidP="000E000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C51D8B" w:rsidRDefault="00875189"/>
    <w:sectPr w:rsidR="00C5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F36"/>
    <w:multiLevelType w:val="hybridMultilevel"/>
    <w:tmpl w:val="927C42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1E2"/>
    <w:multiLevelType w:val="hybridMultilevel"/>
    <w:tmpl w:val="927C42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06E4"/>
    <w:multiLevelType w:val="hybridMultilevel"/>
    <w:tmpl w:val="D7CC3196"/>
    <w:lvl w:ilvl="0" w:tplc="61209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605EE"/>
    <w:multiLevelType w:val="hybridMultilevel"/>
    <w:tmpl w:val="0A5CB336"/>
    <w:lvl w:ilvl="0" w:tplc="61209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F4"/>
    <w:rsid w:val="000101F4"/>
    <w:rsid w:val="000E0008"/>
    <w:rsid w:val="004110B9"/>
    <w:rsid w:val="004B3518"/>
    <w:rsid w:val="0087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Bouglé</dc:creator>
  <cp:keywords/>
  <dc:description/>
  <cp:lastModifiedBy>Famille Bouglé</cp:lastModifiedBy>
  <cp:revision>2</cp:revision>
  <dcterms:created xsi:type="dcterms:W3CDTF">2019-12-05T14:52:00Z</dcterms:created>
  <dcterms:modified xsi:type="dcterms:W3CDTF">2019-12-05T15:07:00Z</dcterms:modified>
</cp:coreProperties>
</file>