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F1" w:rsidRDefault="008925F1">
      <w:pPr>
        <w:spacing w:after="240"/>
      </w:pPr>
    </w:p>
    <w:p w:rsidR="00E64207" w:rsidRPr="00367055" w:rsidRDefault="00E64207" w:rsidP="00E64207">
      <w:pPr>
        <w:spacing w:after="240"/>
        <w:rPr>
          <w:rFonts w:ascii="Garamond" w:hAnsi="Garamond"/>
          <w:b/>
          <w:bCs/>
          <w:noProof/>
          <w:color w:val="1F497D"/>
          <w:lang w:val="fr-FR"/>
        </w:rPr>
      </w:pPr>
      <w:r w:rsidRPr="007D64C7">
        <w:rPr>
          <w:rFonts w:ascii="Garamond" w:eastAsia="Calibri" w:hAnsi="Garamond"/>
          <w:b/>
          <w:color w:val="1F497D"/>
          <w:lang w:val="fr-FR" w:eastAsia="en-US"/>
        </w:rPr>
        <w:t>Robert Saint-Esteben</w:t>
      </w:r>
      <w:r w:rsidRPr="00367055">
        <w:rPr>
          <w:rFonts w:ascii="Garamond" w:hAnsi="Garamond"/>
          <w:b/>
          <w:bCs/>
          <w:noProof/>
          <w:color w:val="1F497D"/>
          <w:lang w:val="fr-FR"/>
        </w:rPr>
        <w:t xml:space="preserve"> </w:t>
      </w:r>
      <w:r>
        <w:rPr>
          <w:rFonts w:ascii="Garamond" w:hAnsi="Garamond"/>
          <w:b/>
          <w:bCs/>
          <w:noProof/>
          <w:color w:val="1F497D"/>
          <w:lang w:val="fr-FR"/>
        </w:rPr>
        <w:t xml:space="preserve">- </w:t>
      </w:r>
      <w:r w:rsidRPr="00367055">
        <w:rPr>
          <w:rFonts w:ascii="Garamond" w:hAnsi="Garamond"/>
          <w:b/>
          <w:bCs/>
          <w:noProof/>
          <w:color w:val="1F497D"/>
          <w:lang w:val="fr-FR"/>
        </w:rPr>
        <w:t>Publications</w:t>
      </w:r>
      <w:r w:rsidRPr="00E64207">
        <w:rPr>
          <w:rFonts w:ascii="Garamond" w:hAnsi="Garamond"/>
          <w:b/>
          <w:bCs/>
          <w:noProof/>
          <w:color w:val="1F497D"/>
          <w:lang w:val="fr-FR"/>
        </w:rPr>
        <w:t xml:space="preserve"> </w:t>
      </w:r>
    </w:p>
    <w:p w:rsid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 xml:space="preserve">Droit communautaire et droits nationaux P.U.F., 1967 </w:t>
      </w:r>
    </w:p>
    <w:p w:rsidR="00E64207" w:rsidRPr="00CA47B3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>Une concentration internati</w:t>
      </w:r>
      <w:r w:rsidR="00A0686A">
        <w:rPr>
          <w:rFonts w:ascii="Garamond" w:eastAsia="Calibri" w:hAnsi="Garamond"/>
          <w:color w:val="1F497D"/>
          <w:lang w:val="fr-FR" w:eastAsia="en-US"/>
        </w:rPr>
        <w:t>onale d’entreprises, l’affaire C</w:t>
      </w:r>
      <w:r w:rsidRPr="00CA47B3">
        <w:rPr>
          <w:rFonts w:ascii="Garamond" w:eastAsia="Calibri" w:hAnsi="Garamond"/>
          <w:color w:val="1F497D"/>
          <w:lang w:val="fr-FR" w:eastAsia="en-US"/>
        </w:rPr>
        <w:t>ontinental Can (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Clunet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, 1972) ; </w:t>
      </w:r>
    </w:p>
    <w:p w:rsidR="00E64207" w:rsidRPr="00CA47B3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>Chronique de jurisprudence de la Cour de justice des Communautés européennes (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Clunet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, 1974) ; Chroniques de droit communautaire de la Concurrence (revue droit et pratique du commerce international, 1989) ; </w:t>
      </w:r>
    </w:p>
    <w:p w:rsidR="00E64207" w:rsidRPr="00CA47B3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 xml:space="preserve">Les concentrations (fascicule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Jurisclasseur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Europe, 1991) ; 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Les droits de la défense dans l'application aux entreprises du droit communautaire de la concurrence, </w:t>
      </w:r>
      <w:hyperlink r:id="rId9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Revue des affaires européennes</w:t>
        </w:r>
      </w:hyperlink>
      <w:r w:rsidRPr="00367055">
        <w:rPr>
          <w:rFonts w:ascii="Garamond" w:eastAsia="Calibri" w:hAnsi="Garamond"/>
          <w:color w:val="1F497D"/>
          <w:lang w:val="fr-FR" w:eastAsia="en-US"/>
        </w:rPr>
        <w:t>, 01/10/1994, n°4 , Page(s)  49 -65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Le critère organique et la compétence du droit communautaire à l'égard de l'État, </w:t>
      </w:r>
      <w:hyperlink r:id="rId10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Concurrence et consommation ex Revue de la concurrence et de la consommation</w:t>
        </w:r>
      </w:hyperlink>
      <w:r w:rsidRPr="00367055">
        <w:rPr>
          <w:rFonts w:ascii="Garamond" w:eastAsia="Calibri" w:hAnsi="Garamond"/>
          <w:color w:val="1F497D"/>
          <w:lang w:val="fr-FR" w:eastAsia="en-US"/>
        </w:rPr>
        <w:t>, 01/11/1995, n°88 , Page(s)  24 -28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L'interdiction du refus de vente: mort et résurrection, </w:t>
      </w:r>
      <w:hyperlink r:id="rId11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La Gazette du Palais</w:t>
        </w:r>
      </w:hyperlink>
      <w:r>
        <w:rPr>
          <w:rFonts w:ascii="Garamond" w:eastAsia="Calibri" w:hAnsi="Garamond"/>
          <w:color w:val="1F497D"/>
          <w:lang w:val="fr-FR" w:eastAsia="en-US"/>
        </w:rPr>
        <w:t>, 12/02/1997, n°43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42 -44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065FB3">
        <w:rPr>
          <w:rFonts w:ascii="Garamond" w:eastAsia="Calibri" w:hAnsi="Garamond"/>
          <w:b/>
          <w:color w:val="1F497D"/>
          <w:lang w:val="fr-FR" w:eastAsia="en-US"/>
        </w:rPr>
        <w:t>Robert Saint-Esteben</w:t>
      </w:r>
      <w:r w:rsidRPr="00367055">
        <w:rPr>
          <w:rFonts w:ascii="Garamond" w:eastAsia="Calibri" w:hAnsi="Garamond"/>
          <w:color w:val="1F497D"/>
          <w:lang w:val="fr-FR" w:eastAsia="en-US"/>
        </w:rPr>
        <w:t xml:space="preserve">, et autres, Analyse des restrictions verticales, </w:t>
      </w:r>
      <w:hyperlink r:id="rId12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Concurrence et consommation ex Revue de la concurrence et de la consommation</w:t>
        </w:r>
      </w:hyperlink>
      <w:r>
        <w:rPr>
          <w:rFonts w:ascii="Garamond" w:eastAsia="Calibri" w:hAnsi="Garamond"/>
          <w:color w:val="1F497D"/>
          <w:lang w:val="fr-FR" w:eastAsia="en-US"/>
        </w:rPr>
        <w:t>, 01/09/1997, n°99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4 -26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L'arrêt de la Cour de cassation du 29 octobre 1996: Coup d'arrêt aux interprétations abusivement extensives de la notion d'entente, </w:t>
      </w:r>
      <w:hyperlink r:id="rId13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La Gazette du Palais</w:t>
        </w:r>
      </w:hyperlink>
      <w:r>
        <w:rPr>
          <w:rFonts w:ascii="Garamond" w:eastAsia="Calibri" w:hAnsi="Garamond"/>
          <w:color w:val="1F497D"/>
          <w:lang w:val="fr-FR" w:eastAsia="en-US"/>
        </w:rPr>
        <w:t>, 03/07/1998, n°184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19 -21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065FB3">
        <w:rPr>
          <w:rFonts w:ascii="Garamond" w:eastAsia="Calibri" w:hAnsi="Garamond"/>
          <w:b/>
          <w:color w:val="1F497D"/>
          <w:lang w:val="fr-FR" w:eastAsia="en-US"/>
        </w:rPr>
        <w:t>Robert Saint-Esteben</w:t>
      </w:r>
      <w:r w:rsidRPr="00367055">
        <w:rPr>
          <w:rFonts w:ascii="Garamond" w:eastAsia="Calibri" w:hAnsi="Garamond"/>
          <w:color w:val="1F497D"/>
          <w:lang w:val="fr-FR" w:eastAsia="en-US"/>
        </w:rPr>
        <w:t xml:space="preserve">, et autres, La régulation, monisme ou pluralisme, Colloque, débats, </w:t>
      </w:r>
      <w:hyperlink r:id="rId14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Les Petites Affiches</w:t>
        </w:r>
      </w:hyperlink>
      <w:r>
        <w:rPr>
          <w:rFonts w:ascii="Garamond" w:eastAsia="Calibri" w:hAnsi="Garamond"/>
          <w:color w:val="1F497D"/>
          <w:lang w:val="fr-FR" w:eastAsia="en-US"/>
        </w:rPr>
        <w:t>, 10/07/1998, n°82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19 -23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Pour ou contre les dommages et intérêts punitifs, </w:t>
      </w:r>
      <w:hyperlink r:id="rId15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Les Petites Affiches</w:t>
        </w:r>
      </w:hyperlink>
      <w:r>
        <w:rPr>
          <w:rFonts w:ascii="Garamond" w:eastAsia="Calibri" w:hAnsi="Garamond"/>
          <w:color w:val="1F497D"/>
          <w:lang w:val="fr-FR" w:eastAsia="en-US"/>
        </w:rPr>
        <w:t>, 20/01/2005, 14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53 -63</w:t>
      </w:r>
    </w:p>
    <w:p w:rsidR="00E64207" w:rsidRDefault="00A0686A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065FB3">
        <w:rPr>
          <w:rFonts w:ascii="Garamond" w:eastAsia="Calibri" w:hAnsi="Garamond"/>
          <w:b/>
          <w:color w:val="1F497D"/>
          <w:lang w:val="fr-FR" w:eastAsia="en-US"/>
        </w:rPr>
        <w:t xml:space="preserve">Robert </w:t>
      </w:r>
      <w:proofErr w:type="spellStart"/>
      <w:r w:rsidRPr="00065FB3">
        <w:rPr>
          <w:rFonts w:ascii="Garamond" w:eastAsia="Calibri" w:hAnsi="Garamond"/>
          <w:b/>
          <w:color w:val="1F497D"/>
          <w:lang w:val="fr-FR" w:eastAsia="en-US"/>
        </w:rPr>
        <w:t>Saint-Esteben</w:t>
      </w:r>
      <w:proofErr w:type="spellEnd"/>
      <w:r>
        <w:rPr>
          <w:rFonts w:ascii="Garamond" w:eastAsia="Calibri" w:hAnsi="Garamond"/>
          <w:b/>
          <w:color w:val="1F497D"/>
          <w:lang w:val="fr-FR" w:eastAsia="en-US"/>
        </w:rPr>
        <w:t>,</w:t>
      </w:r>
      <w:r w:rsidRPr="00367055">
        <w:rPr>
          <w:rFonts w:ascii="Garamond" w:eastAsia="Calibri" w:hAnsi="Garamond"/>
          <w:color w:val="1F497D"/>
          <w:lang w:val="fr-FR" w:eastAsia="en-US"/>
        </w:rPr>
        <w:t xml:space="preserve"> </w:t>
      </w:r>
      <w:r w:rsidR="00E64207" w:rsidRPr="00A02786">
        <w:rPr>
          <w:rFonts w:ascii="Garamond" w:eastAsia="Calibri" w:hAnsi="Garamond"/>
          <w:b/>
          <w:color w:val="1F497D"/>
          <w:lang w:val="fr-FR" w:eastAsia="en-US"/>
        </w:rPr>
        <w:t xml:space="preserve">Jean-Daniel </w:t>
      </w:r>
      <w:proofErr w:type="spellStart"/>
      <w:r w:rsidR="00E64207" w:rsidRPr="00A02786">
        <w:rPr>
          <w:rFonts w:ascii="Garamond" w:eastAsia="Calibri" w:hAnsi="Garamond"/>
          <w:b/>
          <w:color w:val="1F497D"/>
          <w:lang w:val="fr-FR" w:eastAsia="en-US"/>
        </w:rPr>
        <w:t>Bretzner</w:t>
      </w:r>
      <w:proofErr w:type="spellEnd"/>
      <w:r w:rsidR="00E64207" w:rsidRPr="00367055">
        <w:rPr>
          <w:rFonts w:ascii="Garamond" w:eastAsia="Calibri" w:hAnsi="Garamond"/>
          <w:color w:val="1F497D"/>
          <w:lang w:val="fr-FR" w:eastAsia="en-US"/>
        </w:rPr>
        <w:t xml:space="preserve">, La charge de la preuve en matière de publicité trompeuse ou de nature à induire en erreur, </w:t>
      </w:r>
      <w:hyperlink r:id="rId16" w:tgtFrame="blank" w:history="1">
        <w:r w:rsidR="00E64207" w:rsidRPr="00367055">
          <w:rPr>
            <w:rFonts w:ascii="Garamond" w:eastAsia="Calibri" w:hAnsi="Garamond"/>
            <w:color w:val="1F497D"/>
            <w:lang w:val="fr-FR" w:eastAsia="en-US"/>
          </w:rPr>
          <w:t>Recueil Dalloz Sirey</w:t>
        </w:r>
      </w:hyperlink>
      <w:r w:rsidR="00E64207">
        <w:rPr>
          <w:rFonts w:ascii="Garamond" w:eastAsia="Calibri" w:hAnsi="Garamond"/>
          <w:color w:val="1F497D"/>
          <w:lang w:val="fr-FR" w:eastAsia="en-US"/>
        </w:rPr>
        <w:t>, 15/06/2006, n°23</w:t>
      </w:r>
      <w:r w:rsidR="00E64207" w:rsidRPr="00367055">
        <w:rPr>
          <w:rFonts w:ascii="Garamond" w:eastAsia="Calibri" w:hAnsi="Garamond"/>
          <w:color w:val="1F497D"/>
          <w:lang w:val="fr-FR" w:eastAsia="en-US"/>
        </w:rPr>
        <w:t>, Page(s)  1610 -1613</w:t>
      </w:r>
    </w:p>
    <w:p w:rsidR="00E64207" w:rsidRPr="00060DC2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 xml:space="preserve">Las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autoridades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nacionales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de la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defensa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de la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competencia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y las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juridicciones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nacionales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 (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Rev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.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Economiaz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 xml:space="preserve">,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vitoria-Gasteiz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>, 2006) 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065FB3">
        <w:rPr>
          <w:rFonts w:ascii="Garamond" w:eastAsia="Calibri" w:hAnsi="Garamond"/>
          <w:b/>
          <w:color w:val="1F497D"/>
          <w:lang w:val="fr-FR" w:eastAsia="en-US"/>
        </w:rPr>
        <w:t xml:space="preserve">Robert </w:t>
      </w:r>
      <w:proofErr w:type="spellStart"/>
      <w:r w:rsidRPr="00065FB3">
        <w:rPr>
          <w:rFonts w:ascii="Garamond" w:eastAsia="Calibri" w:hAnsi="Garamond"/>
          <w:b/>
          <w:color w:val="1F497D"/>
          <w:lang w:val="fr-FR" w:eastAsia="en-US"/>
        </w:rPr>
        <w:t>Saint-Esteben</w:t>
      </w:r>
      <w:proofErr w:type="spellEnd"/>
      <w:r>
        <w:rPr>
          <w:rFonts w:ascii="Garamond" w:eastAsia="Calibri" w:hAnsi="Garamond"/>
          <w:b/>
          <w:color w:val="1F497D"/>
          <w:lang w:val="fr-FR" w:eastAsia="en-US"/>
        </w:rPr>
        <w:t>,</w:t>
      </w:r>
      <w:r w:rsidRPr="00367055">
        <w:rPr>
          <w:rFonts w:ascii="Garamond" w:eastAsia="Calibri" w:hAnsi="Garamond"/>
          <w:color w:val="1F497D"/>
          <w:lang w:val="fr-FR" w:eastAsia="en-US"/>
        </w:rPr>
        <w:t xml:space="preserve"> Pour ou contre la procédure d'engagement ?, </w:t>
      </w:r>
      <w:hyperlink r:id="rId17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Revue Lamy de la Concurrence</w:t>
        </w:r>
      </w:hyperlink>
      <w:r w:rsidRPr="00367055">
        <w:rPr>
          <w:rFonts w:ascii="Garamond" w:eastAsia="Calibri" w:hAnsi="Garamond"/>
          <w:color w:val="1F497D"/>
          <w:lang w:val="fr-FR" w:eastAsia="en-US"/>
        </w:rPr>
        <w:t>, 01/04/2008, n°15 , Page(s)  162 -166</w:t>
      </w:r>
    </w:p>
    <w:p w:rsid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>Projet de réforme du droit interne de la concurrence : à propos des aspects institutionnels et procéduraux (concurrences n° 2-2008) </w:t>
      </w:r>
    </w:p>
    <w:p w:rsid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 xml:space="preserve">Quelle influence du droit communautaire sur la procédure devant le juge national ? (vingtième anniversaire de l’ordonnance du 1er décembre 1986,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Litec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>, Colloques et débats 2008)</w:t>
      </w:r>
    </w:p>
    <w:p w:rsidR="00E64207" w:rsidRPr="00CA47B3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CA47B3">
        <w:rPr>
          <w:rFonts w:ascii="Garamond" w:eastAsia="Calibri" w:hAnsi="Garamond"/>
          <w:color w:val="1F497D"/>
          <w:lang w:val="fr-FR" w:eastAsia="en-US"/>
        </w:rPr>
        <w:t xml:space="preserve">Pour ou contre la procédure d’engagements ? (Revue Lamy </w:t>
      </w:r>
      <w:proofErr w:type="spellStart"/>
      <w:r w:rsidRPr="00CA47B3">
        <w:rPr>
          <w:rFonts w:ascii="Garamond" w:eastAsia="Calibri" w:hAnsi="Garamond"/>
          <w:color w:val="1F497D"/>
          <w:lang w:val="fr-FR" w:eastAsia="en-US"/>
        </w:rPr>
        <w:t>conc</w:t>
      </w:r>
      <w:proofErr w:type="spellEnd"/>
      <w:r w:rsidRPr="00CA47B3">
        <w:rPr>
          <w:rFonts w:ascii="Garamond" w:eastAsia="Calibri" w:hAnsi="Garamond"/>
          <w:color w:val="1F497D"/>
          <w:lang w:val="fr-FR" w:eastAsia="en-US"/>
        </w:rPr>
        <w:t>. N° 15 avril / juin 2008)</w:t>
      </w:r>
      <w:r w:rsidRPr="008B7966">
        <w:rPr>
          <w:rFonts w:ascii="Garamond" w:eastAsia="Calibri" w:hAnsi="Garamond"/>
          <w:color w:val="1F497D"/>
          <w:lang w:val="fr-FR" w:eastAsia="en-US"/>
        </w:rPr>
        <w:t> 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 xml:space="preserve">Quel rôle pour le juge des concentrations ? Utilité et efficacité des recours juridictionnels (point de vue de l'avocat), </w:t>
      </w:r>
      <w:hyperlink r:id="rId18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Revue Lamy de la Concurrence</w:t>
        </w:r>
      </w:hyperlink>
      <w:r>
        <w:rPr>
          <w:rFonts w:ascii="Garamond" w:eastAsia="Calibri" w:hAnsi="Garamond"/>
          <w:color w:val="1F497D"/>
          <w:lang w:val="fr-FR" w:eastAsia="en-US"/>
        </w:rPr>
        <w:t>, 01/01/2009, n°18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173 -174</w:t>
      </w:r>
    </w:p>
    <w:p w:rsid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lastRenderedPageBreak/>
        <w:t xml:space="preserve">Les garanties procédurales en matière de pratiques anticoncurrentielles ou le tango : deux pas en avant, un pas en arrière, </w:t>
      </w:r>
      <w:hyperlink r:id="rId19" w:tgtFrame="blank" w:history="1">
        <w:r w:rsidRPr="00367055">
          <w:rPr>
            <w:rFonts w:ascii="Garamond" w:eastAsia="Calibri" w:hAnsi="Garamond"/>
            <w:color w:val="1F497D"/>
            <w:lang w:val="fr-FR" w:eastAsia="en-US"/>
          </w:rPr>
          <w:t>Journal des Sociétés</w:t>
        </w:r>
      </w:hyperlink>
      <w:r>
        <w:rPr>
          <w:rFonts w:ascii="Garamond" w:eastAsia="Calibri" w:hAnsi="Garamond"/>
          <w:color w:val="1F497D"/>
          <w:lang w:val="fr-FR" w:eastAsia="en-US"/>
        </w:rPr>
        <w:t>, 01/01/2009, n°61</w:t>
      </w:r>
      <w:r w:rsidRPr="00367055">
        <w:rPr>
          <w:rFonts w:ascii="Garamond" w:eastAsia="Calibri" w:hAnsi="Garamond"/>
          <w:color w:val="1F497D"/>
          <w:lang w:val="fr-FR" w:eastAsia="en-US"/>
        </w:rPr>
        <w:t>, Page(s)  32 -38</w:t>
      </w:r>
    </w:p>
    <w:p w:rsid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 w:rsidRPr="00367055">
        <w:rPr>
          <w:rFonts w:ascii="Garamond" w:eastAsia="Calibri" w:hAnsi="Garamond"/>
          <w:color w:val="1F497D"/>
          <w:lang w:val="fr-FR" w:eastAsia="en-US"/>
        </w:rPr>
        <w:t>L'introduction par la loi LME d'une protection des professionnels à l'égard des clauses abusives - un faux ami du droit de la consommation, RDC, juillet 2009, n°3, pp.1275-1284</w:t>
      </w:r>
    </w:p>
    <w:p w:rsidR="00E64207" w:rsidRPr="00367055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1F497D"/>
          <w:lang w:val="fr-FR" w:eastAsia="en-US"/>
        </w:rPr>
      </w:pPr>
      <w:r>
        <w:rPr>
          <w:rFonts w:ascii="Garamond" w:eastAsia="Calibri" w:hAnsi="Garamond"/>
          <w:color w:val="1F497D"/>
          <w:lang w:val="fr-FR" w:eastAsia="en-US"/>
        </w:rPr>
        <w:t>Distribution, Internet et la pratique récente des autorités de concurrence, Concurrences, n°1 - 2010, pp. 8-13.</w:t>
      </w:r>
    </w:p>
    <w:p w:rsidR="00E64207" w:rsidRPr="00BB0588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 w:cs="Verdana"/>
          <w:color w:val="002060"/>
        </w:rPr>
      </w:pPr>
      <w:r w:rsidRPr="00EB5BB2">
        <w:rPr>
          <w:rFonts w:ascii="Garamond" w:eastAsia="Calibri" w:hAnsi="Garamond" w:cs="Verdana"/>
          <w:b/>
          <w:color w:val="1F497D"/>
        </w:rPr>
        <w:t>Robert SAINT-ESTEBEN</w:t>
      </w:r>
      <w:r w:rsidRPr="00EB5BB2">
        <w:rPr>
          <w:rFonts w:ascii="Garamond" w:eastAsia="Calibri" w:hAnsi="Garamond" w:cs="Verdana"/>
          <w:color w:val="1F497D"/>
        </w:rPr>
        <w:t>, Olivier BILLARD et Karin-</w:t>
      </w:r>
      <w:proofErr w:type="spellStart"/>
      <w:r w:rsidRPr="00EB5BB2">
        <w:rPr>
          <w:rFonts w:ascii="Garamond" w:eastAsia="Calibri" w:hAnsi="Garamond" w:cs="Verdana"/>
          <w:color w:val="1F497D"/>
        </w:rPr>
        <w:t>Amélie</w:t>
      </w:r>
      <w:proofErr w:type="spellEnd"/>
      <w:r w:rsidRPr="00EB5BB2">
        <w:rPr>
          <w:rFonts w:ascii="Garamond" w:eastAsia="Calibri" w:hAnsi="Garamond" w:cs="Verdana"/>
          <w:color w:val="1F497D"/>
        </w:rPr>
        <w:t xml:space="preserve"> JOUVENSAL, On-line Reselling and Selective Distribution Networks - What Can be Learnt from the French Experience, </w:t>
      </w:r>
      <w:r w:rsidRPr="00EB5BB2">
        <w:rPr>
          <w:rFonts w:ascii="Garamond" w:eastAsia="Calibri" w:hAnsi="Garamond" w:cs="Verdana"/>
          <w:i/>
          <w:color w:val="1F497D"/>
        </w:rPr>
        <w:t>Journal of European Competition Law &amp; Practice</w:t>
      </w:r>
      <w:r w:rsidRPr="00EB5BB2">
        <w:rPr>
          <w:rFonts w:ascii="Garamond" w:eastAsia="Calibri" w:hAnsi="Garamond" w:cs="Verdana"/>
          <w:color w:val="1F497D"/>
        </w:rPr>
        <w:t>, 2010, vol.1, n°3, p. 245-</w:t>
      </w:r>
      <w:r w:rsidRPr="00BB0588">
        <w:rPr>
          <w:rFonts w:ascii="Garamond" w:eastAsia="Calibri" w:hAnsi="Garamond" w:cs="Verdana"/>
          <w:color w:val="002060"/>
        </w:rPr>
        <w:t>251</w:t>
      </w:r>
    </w:p>
    <w:p w:rsidR="00E64207" w:rsidRPr="00E64207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002060"/>
          <w:lang w:val="fr-FR" w:eastAsia="en-US"/>
        </w:rPr>
      </w:pPr>
      <w:r w:rsidRPr="00BB0588">
        <w:rPr>
          <w:rFonts w:ascii="Garamond" w:eastAsia="Calibri" w:hAnsi="Garamond"/>
          <w:color w:val="002060"/>
          <w:lang w:val="fr-FR" w:eastAsia="en-US"/>
        </w:rPr>
        <w:t>Quelques réflexions sur le “Rapport Folz” sur la sanction des pratiques anticoncurrentielles – Coup d’épée dans l’eau ou destin prometteur ?</w:t>
      </w:r>
      <w:r>
        <w:rPr>
          <w:rFonts w:ascii="Garamond" w:eastAsia="Calibri" w:hAnsi="Garamond"/>
          <w:color w:val="002060"/>
          <w:lang w:val="fr-FR" w:eastAsia="en-US"/>
        </w:rPr>
        <w:t xml:space="preserve"> </w:t>
      </w:r>
      <w:r w:rsidRPr="00BB0588">
        <w:rPr>
          <w:rFonts w:ascii="Garamond" w:eastAsia="Calibri" w:hAnsi="Garamond"/>
          <w:color w:val="002060"/>
          <w:lang w:val="fr-FR" w:eastAsia="en-US"/>
        </w:rPr>
        <w:t>-</w:t>
      </w:r>
      <w:r>
        <w:rPr>
          <w:rFonts w:ascii="Garamond" w:eastAsia="Calibri" w:hAnsi="Garamond"/>
          <w:color w:val="002060"/>
          <w:lang w:val="fr-FR" w:eastAsia="en-US"/>
        </w:rPr>
        <w:t xml:space="preserve"> </w:t>
      </w:r>
      <w:r w:rsidRPr="00BB0588">
        <w:rPr>
          <w:rFonts w:ascii="Garamond" w:eastAsia="Calibri" w:hAnsi="Garamond"/>
          <w:color w:val="002060"/>
          <w:lang w:val="fr-FR" w:eastAsia="en-US"/>
        </w:rPr>
        <w:t>Revue Lamy Droit des Affaires n° 55 – Décembre 2010- p. 39-48.</w:t>
      </w:r>
    </w:p>
    <w:p w:rsidR="00E64207" w:rsidRPr="00BB0588" w:rsidRDefault="00E64207" w:rsidP="00E64207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002060"/>
          <w:lang w:val="fr-FR" w:eastAsia="en-US"/>
        </w:rPr>
      </w:pPr>
      <w:r w:rsidRPr="00BB0588">
        <w:rPr>
          <w:rFonts w:ascii="Garamond" w:eastAsia="Calibri" w:hAnsi="Garamond"/>
          <w:b/>
          <w:color w:val="002060"/>
          <w:lang w:val="fr-FR" w:eastAsia="en-US"/>
        </w:rPr>
        <w:t>Robert SAINT-ESTEBEN, Marc PITTIE</w:t>
      </w:r>
      <w:r w:rsidRPr="00BB0588">
        <w:rPr>
          <w:rFonts w:ascii="Garamond" w:eastAsia="Calibri" w:hAnsi="Garamond"/>
          <w:color w:val="002060"/>
          <w:lang w:val="fr-FR" w:eastAsia="en-US"/>
        </w:rPr>
        <w:t xml:space="preserve"> – Hommage à Dominique </w:t>
      </w:r>
      <w:proofErr w:type="spellStart"/>
      <w:r w:rsidRPr="00BB0588">
        <w:rPr>
          <w:rFonts w:ascii="Garamond" w:eastAsia="Calibri" w:hAnsi="Garamond"/>
          <w:color w:val="002060"/>
          <w:lang w:val="fr-FR" w:eastAsia="en-US"/>
        </w:rPr>
        <w:t>Voillemot</w:t>
      </w:r>
      <w:proofErr w:type="spellEnd"/>
    </w:p>
    <w:p w:rsidR="00E64207" w:rsidRPr="00BB0588" w:rsidRDefault="00E64207" w:rsidP="00E64207">
      <w:pPr>
        <w:ind w:left="720" w:right="57"/>
        <w:jc w:val="both"/>
        <w:rPr>
          <w:rFonts w:ascii="Garamond" w:eastAsia="Calibri" w:hAnsi="Garamond"/>
          <w:color w:val="002060"/>
          <w:lang w:val="fr-FR" w:eastAsia="en-US"/>
        </w:rPr>
      </w:pPr>
      <w:r w:rsidRPr="00BB0588">
        <w:rPr>
          <w:rFonts w:ascii="Garamond" w:eastAsia="Calibri" w:hAnsi="Garamond"/>
          <w:color w:val="002060"/>
          <w:lang w:val="fr-FR" w:eastAsia="en-US"/>
        </w:rPr>
        <w:t xml:space="preserve">« L’arrêt TELE 2 POLSKA de la CJUE : La lettre contre l’esprit ? </w:t>
      </w:r>
    </w:p>
    <w:p w:rsidR="00E64207" w:rsidRDefault="00E64207" w:rsidP="00A0686A">
      <w:pPr>
        <w:ind w:left="720" w:right="57"/>
        <w:jc w:val="both"/>
        <w:rPr>
          <w:rFonts w:ascii="Garamond" w:eastAsia="Calibri" w:hAnsi="Garamond"/>
          <w:color w:val="002060"/>
          <w:lang w:val="fr-FR" w:eastAsia="en-US"/>
        </w:rPr>
      </w:pPr>
      <w:r w:rsidRPr="00BB0588">
        <w:rPr>
          <w:rFonts w:ascii="Garamond" w:eastAsia="Calibri" w:hAnsi="Garamond"/>
          <w:color w:val="002060"/>
          <w:lang w:val="fr-FR" w:eastAsia="en-US"/>
        </w:rPr>
        <w:t>Panorama du Droit Européen de la Concurrence – Numéro spécial – Juillet 2011 p. 21 à 25.</w:t>
      </w:r>
    </w:p>
    <w:p w:rsidR="00E64207" w:rsidRDefault="0078452E" w:rsidP="0078452E">
      <w:pPr>
        <w:numPr>
          <w:ilvl w:val="0"/>
          <w:numId w:val="15"/>
        </w:numPr>
        <w:spacing w:before="120"/>
        <w:ind w:right="57"/>
        <w:jc w:val="both"/>
        <w:rPr>
          <w:rFonts w:ascii="Garamond" w:eastAsia="Calibri" w:hAnsi="Garamond"/>
          <w:color w:val="002060"/>
          <w:lang w:val="fr-FR" w:eastAsia="en-US"/>
        </w:rPr>
      </w:pPr>
      <w:r>
        <w:rPr>
          <w:rFonts w:ascii="Garamond" w:eastAsia="Calibri" w:hAnsi="Garamond"/>
          <w:color w:val="002060"/>
          <w:lang w:val="fr-FR" w:eastAsia="en-US"/>
        </w:rPr>
        <w:t>L’entreprise, les règles de concurrence et les droits fondamenta</w:t>
      </w:r>
      <w:r w:rsidR="00A02786">
        <w:rPr>
          <w:rFonts w:ascii="Garamond" w:eastAsia="Calibri" w:hAnsi="Garamond"/>
          <w:color w:val="002060"/>
          <w:lang w:val="fr-FR" w:eastAsia="en-US"/>
        </w:rPr>
        <w:t>ux : quelle articulation ? Les Nouveaux Cahiers du C</w:t>
      </w:r>
      <w:bookmarkStart w:id="0" w:name="_GoBack"/>
      <w:bookmarkEnd w:id="0"/>
      <w:r w:rsidR="00A02786">
        <w:rPr>
          <w:rFonts w:ascii="Garamond" w:eastAsia="Calibri" w:hAnsi="Garamond"/>
          <w:color w:val="002060"/>
          <w:lang w:val="fr-FR" w:eastAsia="en-US"/>
        </w:rPr>
        <w:t>onseil C</w:t>
      </w:r>
      <w:r>
        <w:rPr>
          <w:rFonts w:ascii="Garamond" w:eastAsia="Calibri" w:hAnsi="Garamond"/>
          <w:color w:val="002060"/>
          <w:lang w:val="fr-FR" w:eastAsia="en-US"/>
        </w:rPr>
        <w:t>onstitutionnel, Dalloz, 2012, n° 35, p. 207 à 219</w:t>
      </w:r>
    </w:p>
    <w:p w:rsidR="00E64207" w:rsidRPr="007D64C7" w:rsidRDefault="00E64207" w:rsidP="00E64207">
      <w:pPr>
        <w:rPr>
          <w:lang w:val="fr-FR"/>
        </w:rPr>
      </w:pPr>
    </w:p>
    <w:p w:rsidR="00A97643" w:rsidRPr="00A0686A" w:rsidRDefault="00A97643">
      <w:pPr>
        <w:spacing w:after="240"/>
        <w:rPr>
          <w:lang w:val="fr-FR"/>
        </w:rPr>
      </w:pPr>
    </w:p>
    <w:p w:rsidR="00A97643" w:rsidRPr="00A0686A" w:rsidRDefault="00A97643" w:rsidP="00A97643">
      <w:pPr>
        <w:rPr>
          <w:lang w:val="fr-FR"/>
        </w:rPr>
      </w:pPr>
    </w:p>
    <w:sectPr w:rsidR="00A97643" w:rsidRPr="00A0686A" w:rsidSect="00646CAD">
      <w:headerReference w:type="default" r:id="rId20"/>
      <w:footerReference w:type="default" r:id="rId2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2E" w:rsidRDefault="0078452E" w:rsidP="004247A5">
      <w:r>
        <w:separator/>
      </w:r>
    </w:p>
    <w:p w:rsidR="0078452E" w:rsidRDefault="0078452E"/>
  </w:endnote>
  <w:endnote w:type="continuationSeparator" w:id="0">
    <w:p w:rsidR="0078452E" w:rsidRDefault="0078452E" w:rsidP="004247A5">
      <w:r>
        <w:continuationSeparator/>
      </w:r>
    </w:p>
    <w:p w:rsidR="0078452E" w:rsidRDefault="00784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69573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913039" w:rsidRPr="00913039" w:rsidRDefault="00913039">
        <w:pPr>
          <w:pStyle w:val="Pieddepage"/>
          <w:jc w:val="right"/>
          <w:rPr>
            <w:rFonts w:ascii="Garamond" w:hAnsi="Garamond"/>
          </w:rPr>
        </w:pPr>
        <w:r w:rsidRPr="00913039">
          <w:rPr>
            <w:rFonts w:ascii="Garamond" w:hAnsi="Garamond"/>
          </w:rPr>
          <w:fldChar w:fldCharType="begin"/>
        </w:r>
        <w:r w:rsidRPr="00913039">
          <w:rPr>
            <w:rFonts w:ascii="Garamond" w:hAnsi="Garamond"/>
          </w:rPr>
          <w:instrText>PAGE   \* MERGEFORMAT</w:instrText>
        </w:r>
        <w:r w:rsidRPr="00913039">
          <w:rPr>
            <w:rFonts w:ascii="Garamond" w:hAnsi="Garamond"/>
          </w:rPr>
          <w:fldChar w:fldCharType="separate"/>
        </w:r>
        <w:r w:rsidRPr="00913039">
          <w:rPr>
            <w:rFonts w:ascii="Garamond" w:hAnsi="Garamond"/>
            <w:noProof/>
            <w:lang w:val="fr-FR"/>
          </w:rPr>
          <w:t>2</w:t>
        </w:r>
        <w:r w:rsidRPr="00913039">
          <w:rPr>
            <w:rFonts w:ascii="Garamond" w:hAnsi="Garamond"/>
          </w:rPr>
          <w:fldChar w:fldCharType="end"/>
        </w:r>
      </w:p>
    </w:sdtContent>
  </w:sdt>
  <w:p w:rsidR="0078452E" w:rsidRDefault="0078452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2E" w:rsidRDefault="0078452E" w:rsidP="004E48E4">
      <w:pPr>
        <w:spacing w:after="240"/>
      </w:pPr>
      <w:r>
        <w:separator/>
      </w:r>
    </w:p>
  </w:footnote>
  <w:footnote w:type="continuationSeparator" w:id="0">
    <w:p w:rsidR="0078452E" w:rsidRDefault="0078452E" w:rsidP="004E48E4">
      <w:pPr>
        <w:spacing w:after="240"/>
      </w:pPr>
      <w:r>
        <w:continuationSeparator/>
      </w:r>
    </w:p>
  </w:footnote>
  <w:footnote w:type="continuationNotice" w:id="1">
    <w:p w:rsidR="0078452E" w:rsidRDefault="007845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2E" w:rsidRDefault="0078452E">
    <w:pPr>
      <w:pStyle w:val="En-tte"/>
    </w:pPr>
  </w:p>
  <w:p w:rsidR="0078452E" w:rsidRDefault="007845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E4"/>
    <w:multiLevelType w:val="multilevel"/>
    <w:tmpl w:val="607E17B6"/>
    <w:lvl w:ilvl="0">
      <w:start w:val="1"/>
      <w:numFmt w:val="upperRoman"/>
      <w:lvlRestart w:val="0"/>
      <w:lvlText w:val="Article 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1"/>
      </w:pPr>
    </w:lvl>
    <w:lvl w:ilvl="3">
      <w:start w:val="1"/>
      <w:numFmt w:val="lowerRoman"/>
      <w:lvlText w:val="(%4)"/>
      <w:lvlJc w:val="right"/>
      <w:pPr>
        <w:ind w:left="862" w:hanging="142"/>
      </w:pPr>
    </w:lvl>
    <w:lvl w:ilvl="4">
      <w:start w:val="1"/>
      <w:numFmt w:val="decimal"/>
      <w:lvlText w:val="%5)"/>
      <w:lvlJc w:val="left"/>
      <w:pPr>
        <w:ind w:left="1009" w:hanging="431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E96A78"/>
    <w:multiLevelType w:val="multilevel"/>
    <w:tmpl w:val="2EFA8D92"/>
    <w:lvl w:ilvl="0">
      <w:start w:val="1"/>
      <w:numFmt w:val="decimal"/>
      <w:lvlRestart w:val="0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29744F"/>
    <w:multiLevelType w:val="multilevel"/>
    <w:tmpl w:val="E7CE6850"/>
    <w:lvl w:ilvl="0">
      <w:start w:val="1"/>
      <w:numFmt w:val="upperRoman"/>
      <w:lvlRestart w:val="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abstractNum w:abstractNumId="3">
    <w:nsid w:val="1EA00F7D"/>
    <w:multiLevelType w:val="multilevel"/>
    <w:tmpl w:val="7ADA621C"/>
    <w:lvl w:ilvl="0">
      <w:start w:val="1"/>
      <w:numFmt w:val="decimal"/>
      <w:lvlRestart w:val="0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A1E09FA"/>
    <w:multiLevelType w:val="multilevel"/>
    <w:tmpl w:val="30A235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Garamond" w:hAnsi="Garamon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Garamond" w:hAnsi="Garamon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Garamond" w:hAnsi="Garamond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>
    <w:nsid w:val="2A467F44"/>
    <w:multiLevelType w:val="hybridMultilevel"/>
    <w:tmpl w:val="BD82AAAC"/>
    <w:lvl w:ilvl="0" w:tplc="302EE4B0">
      <w:start w:val="1"/>
      <w:numFmt w:val="decimal"/>
      <w:pStyle w:val="Numro"/>
      <w:lvlText w:val="%1."/>
      <w:lvlJc w:val="left"/>
      <w:pPr>
        <w:ind w:left="360" w:hanging="360"/>
      </w:pPr>
      <w:rPr>
        <w:rFonts w:ascii="Garamond" w:hAnsi="Garamond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3C0F18"/>
    <w:multiLevelType w:val="multilevel"/>
    <w:tmpl w:val="80E8DA50"/>
    <w:lvl w:ilvl="0">
      <w:start w:val="1"/>
      <w:numFmt w:val="decimal"/>
      <w:lvlRestart w:val="0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abstractNum w:abstractNumId="7">
    <w:nsid w:val="5B9A7515"/>
    <w:multiLevelType w:val="multilevel"/>
    <w:tmpl w:val="2B108786"/>
    <w:lvl w:ilvl="0">
      <w:start w:val="1"/>
      <w:numFmt w:val="decimal"/>
      <w:lvlRestart w:val="0"/>
      <w:lvlText w:val="%1"/>
      <w:lvlJc w:val="left"/>
      <w:pPr>
        <w:ind w:left="431" w:hanging="431"/>
      </w:pPr>
    </w:lvl>
    <w:lvl w:ilvl="1">
      <w:start w:val="1"/>
      <w:numFmt w:val="decimal"/>
      <w:lvlText w:val="%1.%2"/>
      <w:lvlJc w:val="left"/>
      <w:pPr>
        <w:ind w:left="578" w:hanging="57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lvlText w:val="%1.%2.%3.%4.%5"/>
      <w:lvlJc w:val="left"/>
      <w:pPr>
        <w:ind w:left="1009" w:hanging="1009"/>
      </w:p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5" w:hanging="566"/>
      </w:pPr>
    </w:lvl>
    <w:lvl w:ilvl="8">
      <w:start w:val="1"/>
      <w:numFmt w:val="lowerRoman"/>
      <w:lvlText w:val="%9."/>
      <w:lvlJc w:val="left"/>
      <w:pPr>
        <w:ind w:left="5102" w:hanging="567"/>
      </w:pPr>
    </w:lvl>
  </w:abstractNum>
  <w:abstractNum w:abstractNumId="8">
    <w:nsid w:val="61BD5140"/>
    <w:multiLevelType w:val="multilevel"/>
    <w:tmpl w:val="60980BD8"/>
    <w:lvl w:ilvl="0">
      <w:start w:val="1"/>
      <w:numFmt w:val="decimal"/>
      <w:lvlRestart w:val="0"/>
      <w:lvlText w:val="%1"/>
      <w:lvlJc w:val="left"/>
      <w:pPr>
        <w:ind w:left="431" w:hanging="431"/>
      </w:pPr>
    </w:lvl>
    <w:lvl w:ilvl="1">
      <w:start w:val="1"/>
      <w:numFmt w:val="decimal"/>
      <w:lvlText w:val="%1.%2"/>
      <w:lvlJc w:val="left"/>
      <w:pPr>
        <w:ind w:left="578" w:hanging="57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lvlText w:val="%1.%2.%3.%4.%5"/>
      <w:lvlJc w:val="left"/>
      <w:pPr>
        <w:ind w:left="1009" w:hanging="1009"/>
      </w:p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5" w:hanging="566"/>
      </w:pPr>
    </w:lvl>
    <w:lvl w:ilvl="8">
      <w:start w:val="1"/>
      <w:numFmt w:val="lowerRoman"/>
      <w:lvlText w:val="%9."/>
      <w:lvlJc w:val="left"/>
      <w:pPr>
        <w:ind w:left="5102" w:hanging="567"/>
      </w:pPr>
    </w:lvl>
  </w:abstractNum>
  <w:abstractNum w:abstractNumId="9">
    <w:nsid w:val="65431004"/>
    <w:multiLevelType w:val="multilevel"/>
    <w:tmpl w:val="128832AA"/>
    <w:lvl w:ilvl="0">
      <w:start w:val="1"/>
      <w:numFmt w:val="decimal"/>
      <w:lvlRestart w:val="0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abstractNum w:abstractNumId="10">
    <w:nsid w:val="6B0C0110"/>
    <w:multiLevelType w:val="hybridMultilevel"/>
    <w:tmpl w:val="9BF696DA"/>
    <w:lvl w:ilvl="0" w:tplc="A76A3EF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518B9"/>
    <w:multiLevelType w:val="multilevel"/>
    <w:tmpl w:val="F98ABDE8"/>
    <w:lvl w:ilvl="0">
      <w:start w:val="1"/>
      <w:numFmt w:val="decimal"/>
      <w:lvlRestart w:val="0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abstractNum w:abstractNumId="12">
    <w:nsid w:val="7636528B"/>
    <w:multiLevelType w:val="multilevel"/>
    <w:tmpl w:val="4DC8600A"/>
    <w:lvl w:ilvl="0">
      <w:start w:val="1"/>
      <w:numFmt w:val="upperRoman"/>
      <w:lvlRestart w:val="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/>
  <w:styleLockTheme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07"/>
    <w:rsid w:val="00000E79"/>
    <w:rsid w:val="0001047C"/>
    <w:rsid w:val="00012410"/>
    <w:rsid w:val="0002483C"/>
    <w:rsid w:val="000544F0"/>
    <w:rsid w:val="00064ABF"/>
    <w:rsid w:val="0006764D"/>
    <w:rsid w:val="0008623C"/>
    <w:rsid w:val="000A1853"/>
    <w:rsid w:val="000D332D"/>
    <w:rsid w:val="000E2C12"/>
    <w:rsid w:val="000E337A"/>
    <w:rsid w:val="001114F3"/>
    <w:rsid w:val="0012388A"/>
    <w:rsid w:val="00150D50"/>
    <w:rsid w:val="001864F9"/>
    <w:rsid w:val="001A4C32"/>
    <w:rsid w:val="001D262B"/>
    <w:rsid w:val="001E07D0"/>
    <w:rsid w:val="001E7866"/>
    <w:rsid w:val="001F737F"/>
    <w:rsid w:val="00202FB5"/>
    <w:rsid w:val="00217C1A"/>
    <w:rsid w:val="00235C25"/>
    <w:rsid w:val="00274305"/>
    <w:rsid w:val="00276539"/>
    <w:rsid w:val="00280701"/>
    <w:rsid w:val="00294705"/>
    <w:rsid w:val="002A3A7B"/>
    <w:rsid w:val="002C45FC"/>
    <w:rsid w:val="002C650C"/>
    <w:rsid w:val="002D2D70"/>
    <w:rsid w:val="002D52F7"/>
    <w:rsid w:val="002F4FB2"/>
    <w:rsid w:val="00302D0E"/>
    <w:rsid w:val="0033205D"/>
    <w:rsid w:val="003467D2"/>
    <w:rsid w:val="00352707"/>
    <w:rsid w:val="003652DE"/>
    <w:rsid w:val="00371F86"/>
    <w:rsid w:val="00373F95"/>
    <w:rsid w:val="00377758"/>
    <w:rsid w:val="00382735"/>
    <w:rsid w:val="00391C5C"/>
    <w:rsid w:val="003A0834"/>
    <w:rsid w:val="003E398D"/>
    <w:rsid w:val="003F3C44"/>
    <w:rsid w:val="004156AE"/>
    <w:rsid w:val="004247A5"/>
    <w:rsid w:val="00427537"/>
    <w:rsid w:val="00447869"/>
    <w:rsid w:val="004555BF"/>
    <w:rsid w:val="00470094"/>
    <w:rsid w:val="00470105"/>
    <w:rsid w:val="0047675B"/>
    <w:rsid w:val="00477833"/>
    <w:rsid w:val="004969D9"/>
    <w:rsid w:val="004A0DF4"/>
    <w:rsid w:val="004B0EDA"/>
    <w:rsid w:val="004D62F6"/>
    <w:rsid w:val="004D6564"/>
    <w:rsid w:val="004E48E4"/>
    <w:rsid w:val="004E6854"/>
    <w:rsid w:val="004F18E8"/>
    <w:rsid w:val="00504377"/>
    <w:rsid w:val="00506757"/>
    <w:rsid w:val="00521CD7"/>
    <w:rsid w:val="005445A1"/>
    <w:rsid w:val="00564B6D"/>
    <w:rsid w:val="005B59C4"/>
    <w:rsid w:val="005C442B"/>
    <w:rsid w:val="005E30A4"/>
    <w:rsid w:val="005F5A60"/>
    <w:rsid w:val="005F5CD1"/>
    <w:rsid w:val="0060429D"/>
    <w:rsid w:val="0061217E"/>
    <w:rsid w:val="0062352C"/>
    <w:rsid w:val="00626D41"/>
    <w:rsid w:val="00646CAD"/>
    <w:rsid w:val="00647290"/>
    <w:rsid w:val="00685C3C"/>
    <w:rsid w:val="006A0B28"/>
    <w:rsid w:val="006A2922"/>
    <w:rsid w:val="006E025E"/>
    <w:rsid w:val="006E29E5"/>
    <w:rsid w:val="006E5380"/>
    <w:rsid w:val="00701064"/>
    <w:rsid w:val="0071465E"/>
    <w:rsid w:val="00714B47"/>
    <w:rsid w:val="00720628"/>
    <w:rsid w:val="0073570B"/>
    <w:rsid w:val="0078452E"/>
    <w:rsid w:val="00785A28"/>
    <w:rsid w:val="007D6B97"/>
    <w:rsid w:val="00806C27"/>
    <w:rsid w:val="0082711C"/>
    <w:rsid w:val="00837203"/>
    <w:rsid w:val="008455E3"/>
    <w:rsid w:val="00846DEB"/>
    <w:rsid w:val="00871EBD"/>
    <w:rsid w:val="008925F1"/>
    <w:rsid w:val="0089308E"/>
    <w:rsid w:val="008E0550"/>
    <w:rsid w:val="008E13C9"/>
    <w:rsid w:val="008E634B"/>
    <w:rsid w:val="00913039"/>
    <w:rsid w:val="0092093D"/>
    <w:rsid w:val="00942159"/>
    <w:rsid w:val="009A4980"/>
    <w:rsid w:val="009B16DF"/>
    <w:rsid w:val="009B798B"/>
    <w:rsid w:val="009C17DA"/>
    <w:rsid w:val="009C5801"/>
    <w:rsid w:val="009D3394"/>
    <w:rsid w:val="00A02786"/>
    <w:rsid w:val="00A0686A"/>
    <w:rsid w:val="00A317F0"/>
    <w:rsid w:val="00A33743"/>
    <w:rsid w:val="00A33ED6"/>
    <w:rsid w:val="00A3627E"/>
    <w:rsid w:val="00A41769"/>
    <w:rsid w:val="00A56F10"/>
    <w:rsid w:val="00A97643"/>
    <w:rsid w:val="00AB3548"/>
    <w:rsid w:val="00AB7846"/>
    <w:rsid w:val="00AC121A"/>
    <w:rsid w:val="00AD6306"/>
    <w:rsid w:val="00AF1B29"/>
    <w:rsid w:val="00B34907"/>
    <w:rsid w:val="00B8405C"/>
    <w:rsid w:val="00B93510"/>
    <w:rsid w:val="00BA4857"/>
    <w:rsid w:val="00BA75E5"/>
    <w:rsid w:val="00BF399F"/>
    <w:rsid w:val="00BF70D4"/>
    <w:rsid w:val="00C11720"/>
    <w:rsid w:val="00C15D9E"/>
    <w:rsid w:val="00C22DA4"/>
    <w:rsid w:val="00C2467D"/>
    <w:rsid w:val="00C26AB7"/>
    <w:rsid w:val="00C30367"/>
    <w:rsid w:val="00C6644E"/>
    <w:rsid w:val="00C83044"/>
    <w:rsid w:val="00C86F50"/>
    <w:rsid w:val="00C9330E"/>
    <w:rsid w:val="00CB10B5"/>
    <w:rsid w:val="00D26B1A"/>
    <w:rsid w:val="00D42FC3"/>
    <w:rsid w:val="00DA3335"/>
    <w:rsid w:val="00DA6AC4"/>
    <w:rsid w:val="00DD0D5C"/>
    <w:rsid w:val="00E00049"/>
    <w:rsid w:val="00E02A21"/>
    <w:rsid w:val="00E15FCE"/>
    <w:rsid w:val="00E30B09"/>
    <w:rsid w:val="00E37CD5"/>
    <w:rsid w:val="00E531B0"/>
    <w:rsid w:val="00E64207"/>
    <w:rsid w:val="00E7585B"/>
    <w:rsid w:val="00E76EC2"/>
    <w:rsid w:val="00E821B8"/>
    <w:rsid w:val="00E84BB9"/>
    <w:rsid w:val="00E96E15"/>
    <w:rsid w:val="00EA17BF"/>
    <w:rsid w:val="00EC08F6"/>
    <w:rsid w:val="00ED4BF2"/>
    <w:rsid w:val="00ED6247"/>
    <w:rsid w:val="00ED73F8"/>
    <w:rsid w:val="00EE3D7A"/>
    <w:rsid w:val="00F00B18"/>
    <w:rsid w:val="00F2031A"/>
    <w:rsid w:val="00F34B9B"/>
    <w:rsid w:val="00F3631A"/>
    <w:rsid w:val="00F52D0A"/>
    <w:rsid w:val="00F61658"/>
    <w:rsid w:val="00F95976"/>
    <w:rsid w:val="00F962E4"/>
    <w:rsid w:val="00FA3581"/>
    <w:rsid w:val="00FA4888"/>
    <w:rsid w:val="00FB0C2E"/>
    <w:rsid w:val="00FC5245"/>
    <w:rsid w:val="00FD23F6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theme="minorBidi"/>
        <w:sz w:val="24"/>
        <w:szCs w:val="24"/>
        <w:lang w:val="fr-FR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07"/>
    <w:pPr>
      <w:spacing w:after="0"/>
    </w:pPr>
    <w:rPr>
      <w:rFonts w:ascii="Times New Roman" w:hAnsi="Times New Roman" w:cs="Times New Roman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455E3"/>
    <w:pPr>
      <w:keepNext/>
      <w:keepLines/>
      <w:numPr>
        <w:numId w:val="13"/>
      </w:numPr>
      <w:spacing w:before="240" w:line="276" w:lineRule="auto"/>
      <w:outlineLvl w:val="0"/>
    </w:pPr>
    <w:rPr>
      <w:rFonts w:eastAsiaTheme="majorEastAsia" w:cstheme="majorBidi"/>
      <w:b/>
      <w:bCs/>
      <w:smallCaps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1EBD"/>
    <w:pPr>
      <w:keepNext/>
      <w:keepLines/>
      <w:numPr>
        <w:ilvl w:val="1"/>
        <w:numId w:val="13"/>
      </w:numPr>
      <w:spacing w:before="24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1EBD"/>
    <w:pPr>
      <w:keepNext/>
      <w:keepLines/>
      <w:numPr>
        <w:ilvl w:val="2"/>
        <w:numId w:val="13"/>
      </w:numPr>
      <w:spacing w:before="240" w:line="276" w:lineRule="auto"/>
      <w:outlineLvl w:val="2"/>
    </w:pPr>
    <w:rPr>
      <w:rFonts w:eastAsiaTheme="majorEastAsia" w:cstheme="majorBidi"/>
      <w:b/>
      <w:bCs/>
      <w:i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399F"/>
    <w:pPr>
      <w:keepNext/>
      <w:keepLines/>
      <w:numPr>
        <w:ilvl w:val="3"/>
        <w:numId w:val="13"/>
      </w:numPr>
      <w:spacing w:before="240" w:line="276" w:lineRule="auto"/>
      <w:ind w:left="851" w:hanging="851"/>
      <w:outlineLvl w:val="3"/>
    </w:pPr>
    <w:rPr>
      <w:rFonts w:eastAsiaTheme="majorEastAsia" w:cstheme="majorBidi"/>
      <w:bCs/>
      <w:i/>
      <w:iCs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71EBD"/>
    <w:pPr>
      <w:keepNext/>
      <w:keepLines/>
      <w:numPr>
        <w:ilvl w:val="4"/>
        <w:numId w:val="13"/>
      </w:numPr>
      <w:spacing w:before="240" w:line="276" w:lineRule="auto"/>
      <w:outlineLvl w:val="4"/>
    </w:pPr>
    <w:rPr>
      <w:rFonts w:eastAsiaTheme="majorEastAsia" w:cstheme="majorBidi"/>
      <w:u w:val="singl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871EBD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243F60" w:themeColor="accent1" w:themeShade="7F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71EB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71EBD"/>
    <w:pPr>
      <w:keepNext/>
      <w:keepLines/>
      <w:spacing w:after="240" w:line="276" w:lineRule="auto"/>
      <w:outlineLvl w:val="7"/>
    </w:pPr>
    <w:rPr>
      <w:rFonts w:eastAsiaTheme="majorEastAsia" w:cstheme="majorBidi"/>
      <w:color w:val="404040" w:themeColor="text1" w:themeTint="BF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71EBD"/>
    <w:pPr>
      <w:keepNext/>
      <w:keepLines/>
      <w:spacing w:after="240" w:line="276" w:lineRule="auto"/>
      <w:outlineLvl w:val="8"/>
    </w:pPr>
    <w:rPr>
      <w:rFonts w:eastAsiaTheme="majorEastAsia" w:cstheme="majorBidi"/>
      <w:i/>
      <w:iCs/>
      <w:color w:val="404040" w:themeColor="text1" w:themeTint="BF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47A5"/>
    <w:pPr>
      <w:tabs>
        <w:tab w:val="center" w:pos="4536"/>
        <w:tab w:val="right" w:pos="9072"/>
      </w:tabs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A4C32"/>
    <w:rPr>
      <w:rFonts w:asciiTheme="minorHAnsi" w:eastAsiaTheme="minorHAnsi" w:hAnsi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4247A5"/>
    <w:pPr>
      <w:tabs>
        <w:tab w:val="center" w:pos="4536"/>
        <w:tab w:val="right" w:pos="9072"/>
      </w:tabs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A4C32"/>
    <w:rPr>
      <w:rFonts w:asciiTheme="minorHAnsi" w:eastAsiaTheme="minorHAnsi" w:hAnsi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7A5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7A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504377"/>
    <w:pPr>
      <w:spacing w:after="60" w:line="276" w:lineRule="auto"/>
      <w:ind w:left="284" w:hanging="284"/>
    </w:pPr>
    <w:rPr>
      <w:rFonts w:cstheme="minorBidi"/>
      <w:sz w:val="21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A4C32"/>
    <w:rPr>
      <w:sz w:val="21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358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8455E3"/>
    <w:rPr>
      <w:rFonts w:eastAsiaTheme="majorEastAsia" w:cstheme="majorBidi"/>
      <w:b/>
      <w:bCs/>
      <w:smallCaps/>
    </w:rPr>
  </w:style>
  <w:style w:type="paragraph" w:styleId="Titre">
    <w:name w:val="Title"/>
    <w:basedOn w:val="Normal"/>
    <w:next w:val="SoulignTitre"/>
    <w:link w:val="TitreCar"/>
    <w:uiPriority w:val="10"/>
    <w:qFormat/>
    <w:rsid w:val="00F3631A"/>
    <w:pPr>
      <w:spacing w:after="240" w:line="276" w:lineRule="auto"/>
      <w:contextualSpacing/>
      <w:jc w:val="center"/>
    </w:pPr>
    <w:rPr>
      <w:rFonts w:eastAsiaTheme="majorEastAsia" w:cstheme="majorBidi"/>
      <w:b/>
      <w:smallCaps/>
      <w:spacing w:val="5"/>
      <w:kern w:val="28"/>
      <w:sz w:val="28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74305"/>
    <w:rPr>
      <w:rFonts w:eastAsiaTheme="majorEastAsia" w:cstheme="majorBidi"/>
      <w:b/>
      <w:smallCaps/>
      <w:spacing w:val="5"/>
      <w:kern w:val="28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71EBD"/>
    <w:rPr>
      <w:rFonts w:eastAsiaTheme="majorEastAsia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71EBD"/>
    <w:rPr>
      <w:rFonts w:eastAsiaTheme="majorEastAsia" w:cstheme="majorBidi"/>
      <w:b/>
      <w:bCs/>
      <w:i/>
    </w:rPr>
  </w:style>
  <w:style w:type="character" w:customStyle="1" w:styleId="Titre4Car">
    <w:name w:val="Titre 4 Car"/>
    <w:basedOn w:val="Policepardfaut"/>
    <w:link w:val="Titre4"/>
    <w:uiPriority w:val="9"/>
    <w:rsid w:val="00BF399F"/>
    <w:rPr>
      <w:rFonts w:eastAsiaTheme="majorEastAsia" w:cstheme="majorBidi"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871EBD"/>
    <w:rPr>
      <w:rFonts w:eastAsiaTheme="majorEastAsia" w:cstheme="majorBidi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871EBD"/>
    <w:rPr>
      <w:rFonts w:eastAsiaTheme="majorEastAsia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71E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71EBD"/>
    <w:rPr>
      <w:rFonts w:eastAsiaTheme="majorEastAsia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71EBD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Aarpi">
    <w:name w:val="Aarpi"/>
    <w:basedOn w:val="Normal"/>
    <w:link w:val="AarpiCar"/>
    <w:rsid w:val="00BA75E5"/>
    <w:pPr>
      <w:shd w:val="solid" w:color="FFFFFF" w:fill="FFFFFF"/>
      <w:tabs>
        <w:tab w:val="left" w:pos="1155"/>
      </w:tabs>
      <w:spacing w:after="60" w:line="276" w:lineRule="auto"/>
      <w:jc w:val="center"/>
    </w:pPr>
    <w:rPr>
      <w:rFonts w:ascii="Kunstler Script" w:hAnsi="Kunstler Script" w:cs="Tunga"/>
      <w:spacing w:val="10"/>
      <w:sz w:val="22"/>
      <w:szCs w:val="22"/>
      <w:lang w:eastAsia="en-US"/>
    </w:rPr>
  </w:style>
  <w:style w:type="character" w:customStyle="1" w:styleId="AarpiCar">
    <w:name w:val="Aarpi Car"/>
    <w:basedOn w:val="Policepardfaut"/>
    <w:link w:val="Aarpi"/>
    <w:rsid w:val="00BA75E5"/>
    <w:rPr>
      <w:rFonts w:ascii="Kunstler Script" w:hAnsi="Kunstler Script" w:cs="Tunga"/>
      <w:spacing w:val="10"/>
      <w:shd w:val="solid" w:color="FFFFFF" w:fill="FFFFFF"/>
      <w:lang w:eastAsia="fr-FR"/>
    </w:rPr>
  </w:style>
  <w:style w:type="paragraph" w:customStyle="1" w:styleId="En-ttedroite">
    <w:name w:val="En-tête droite"/>
    <w:basedOn w:val="Normal"/>
    <w:link w:val="En-ttedroiteCar"/>
    <w:rsid w:val="00A41769"/>
    <w:pPr>
      <w:spacing w:line="276" w:lineRule="auto"/>
      <w:jc w:val="right"/>
    </w:pPr>
    <w:rPr>
      <w:rFonts w:cstheme="minorBidi"/>
      <w:b/>
      <w:i/>
      <w:sz w:val="22"/>
      <w:lang w:eastAsia="en-US"/>
    </w:rPr>
  </w:style>
  <w:style w:type="character" w:customStyle="1" w:styleId="En-ttedroiteCar">
    <w:name w:val="En-tête droite Car"/>
    <w:basedOn w:val="Policepardfaut"/>
    <w:link w:val="En-ttedroite"/>
    <w:rsid w:val="00A41769"/>
    <w:rPr>
      <w:rFonts w:ascii="Garamond" w:hAnsi="Garamond" w:cs="Times New Roman"/>
      <w:b/>
      <w:i/>
      <w:szCs w:val="24"/>
      <w:lang w:eastAsia="fr-FR"/>
    </w:rPr>
  </w:style>
  <w:style w:type="paragraph" w:customStyle="1" w:styleId="SoulignTitre">
    <w:name w:val="Souligné Titre"/>
    <w:basedOn w:val="Normal"/>
    <w:next w:val="Normal"/>
    <w:link w:val="SoulignTitreCar"/>
    <w:semiHidden/>
    <w:rsid w:val="005C442B"/>
    <w:pPr>
      <w:pBdr>
        <w:bottom w:val="single" w:sz="4" w:space="1" w:color="auto"/>
      </w:pBdr>
      <w:spacing w:after="480"/>
      <w:ind w:left="2835" w:right="2835"/>
    </w:pPr>
    <w:rPr>
      <w:sz w:val="2"/>
    </w:rPr>
  </w:style>
  <w:style w:type="character" w:customStyle="1" w:styleId="SoulignTitreCar">
    <w:name w:val="Souligné Titre Car"/>
    <w:basedOn w:val="Policepardfaut"/>
    <w:link w:val="SoulignTitre"/>
    <w:semiHidden/>
    <w:rsid w:val="001A4C32"/>
    <w:rPr>
      <w:sz w:val="2"/>
    </w:rPr>
  </w:style>
  <w:style w:type="paragraph" w:customStyle="1" w:styleId="Numro">
    <w:name w:val="Numéro §"/>
    <w:basedOn w:val="Paragraphedeliste"/>
    <w:next w:val="Retrait"/>
    <w:link w:val="NumroCar"/>
    <w:qFormat/>
    <w:rsid w:val="00F3631A"/>
    <w:pPr>
      <w:numPr>
        <w:numId w:val="2"/>
      </w:numPr>
      <w:ind w:left="567" w:hanging="567"/>
      <w:contextualSpacing w:val="0"/>
    </w:pPr>
  </w:style>
  <w:style w:type="character" w:customStyle="1" w:styleId="NumroCar">
    <w:name w:val="Numéro § Car"/>
    <w:basedOn w:val="Policepardfaut"/>
    <w:link w:val="Numro"/>
    <w:rsid w:val="00F3631A"/>
  </w:style>
  <w:style w:type="paragraph" w:styleId="Paragraphedeliste">
    <w:name w:val="List Paragraph"/>
    <w:basedOn w:val="Normal"/>
    <w:uiPriority w:val="34"/>
    <w:rsid w:val="005C442B"/>
    <w:pPr>
      <w:spacing w:line="276" w:lineRule="auto"/>
      <w:ind w:left="720"/>
      <w:contextualSpacing/>
    </w:pPr>
    <w:rPr>
      <w:rFonts w:cstheme="minorBidi"/>
      <w:lang w:eastAsia="en-US"/>
    </w:rPr>
  </w:style>
  <w:style w:type="paragraph" w:customStyle="1" w:styleId="Retrait">
    <w:name w:val="Retrait §"/>
    <w:basedOn w:val="Normal"/>
    <w:link w:val="RetraitCar"/>
    <w:qFormat/>
    <w:rsid w:val="000544F0"/>
    <w:pPr>
      <w:spacing w:line="276" w:lineRule="auto"/>
      <w:ind w:left="567"/>
    </w:pPr>
    <w:rPr>
      <w:rFonts w:cstheme="minorBidi"/>
      <w:lang w:eastAsia="en-US"/>
    </w:rPr>
  </w:style>
  <w:style w:type="character" w:customStyle="1" w:styleId="RetraitCar">
    <w:name w:val="Retrait § Car"/>
    <w:basedOn w:val="Policepardfaut"/>
    <w:link w:val="Retrait"/>
    <w:rsid w:val="000544F0"/>
  </w:style>
  <w:style w:type="character" w:styleId="Textedelespacerserv">
    <w:name w:val="Placeholder Text"/>
    <w:basedOn w:val="Policepardfaut"/>
    <w:uiPriority w:val="99"/>
    <w:semiHidden/>
    <w:rsid w:val="00000E79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semiHidden/>
    <w:rsid w:val="008372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1A4C3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Sansinterligne">
    <w:name w:val="No Spacing"/>
    <w:uiPriority w:val="1"/>
    <w:semiHidden/>
    <w:rsid w:val="001A4C32"/>
    <w:pPr>
      <w:spacing w:after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theme="minorBidi"/>
        <w:sz w:val="24"/>
        <w:szCs w:val="24"/>
        <w:lang w:val="fr-FR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07"/>
    <w:pPr>
      <w:spacing w:after="0"/>
    </w:pPr>
    <w:rPr>
      <w:rFonts w:ascii="Times New Roman" w:hAnsi="Times New Roman" w:cs="Times New Roman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455E3"/>
    <w:pPr>
      <w:keepNext/>
      <w:keepLines/>
      <w:numPr>
        <w:numId w:val="13"/>
      </w:numPr>
      <w:spacing w:before="240" w:line="276" w:lineRule="auto"/>
      <w:outlineLvl w:val="0"/>
    </w:pPr>
    <w:rPr>
      <w:rFonts w:eastAsiaTheme="majorEastAsia" w:cstheme="majorBidi"/>
      <w:b/>
      <w:bCs/>
      <w:smallCaps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1EBD"/>
    <w:pPr>
      <w:keepNext/>
      <w:keepLines/>
      <w:numPr>
        <w:ilvl w:val="1"/>
        <w:numId w:val="13"/>
      </w:numPr>
      <w:spacing w:before="24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1EBD"/>
    <w:pPr>
      <w:keepNext/>
      <w:keepLines/>
      <w:numPr>
        <w:ilvl w:val="2"/>
        <w:numId w:val="13"/>
      </w:numPr>
      <w:spacing w:before="240" w:line="276" w:lineRule="auto"/>
      <w:outlineLvl w:val="2"/>
    </w:pPr>
    <w:rPr>
      <w:rFonts w:eastAsiaTheme="majorEastAsia" w:cstheme="majorBidi"/>
      <w:b/>
      <w:bCs/>
      <w:i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399F"/>
    <w:pPr>
      <w:keepNext/>
      <w:keepLines/>
      <w:numPr>
        <w:ilvl w:val="3"/>
        <w:numId w:val="13"/>
      </w:numPr>
      <w:spacing w:before="240" w:line="276" w:lineRule="auto"/>
      <w:ind w:left="851" w:hanging="851"/>
      <w:outlineLvl w:val="3"/>
    </w:pPr>
    <w:rPr>
      <w:rFonts w:eastAsiaTheme="majorEastAsia" w:cstheme="majorBidi"/>
      <w:bCs/>
      <w:i/>
      <w:iCs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71EBD"/>
    <w:pPr>
      <w:keepNext/>
      <w:keepLines/>
      <w:numPr>
        <w:ilvl w:val="4"/>
        <w:numId w:val="13"/>
      </w:numPr>
      <w:spacing w:before="240" w:line="276" w:lineRule="auto"/>
      <w:outlineLvl w:val="4"/>
    </w:pPr>
    <w:rPr>
      <w:rFonts w:eastAsiaTheme="majorEastAsia" w:cstheme="majorBidi"/>
      <w:u w:val="singl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871EBD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243F60" w:themeColor="accent1" w:themeShade="7F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71EB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71EBD"/>
    <w:pPr>
      <w:keepNext/>
      <w:keepLines/>
      <w:spacing w:after="240" w:line="276" w:lineRule="auto"/>
      <w:outlineLvl w:val="7"/>
    </w:pPr>
    <w:rPr>
      <w:rFonts w:eastAsiaTheme="majorEastAsia" w:cstheme="majorBidi"/>
      <w:color w:val="404040" w:themeColor="text1" w:themeTint="BF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71EBD"/>
    <w:pPr>
      <w:keepNext/>
      <w:keepLines/>
      <w:spacing w:after="240" w:line="276" w:lineRule="auto"/>
      <w:outlineLvl w:val="8"/>
    </w:pPr>
    <w:rPr>
      <w:rFonts w:eastAsiaTheme="majorEastAsia" w:cstheme="majorBidi"/>
      <w:i/>
      <w:iCs/>
      <w:color w:val="404040" w:themeColor="text1" w:themeTint="BF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47A5"/>
    <w:pPr>
      <w:tabs>
        <w:tab w:val="center" w:pos="4536"/>
        <w:tab w:val="right" w:pos="9072"/>
      </w:tabs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A4C32"/>
    <w:rPr>
      <w:rFonts w:asciiTheme="minorHAnsi" w:eastAsiaTheme="minorHAnsi" w:hAnsi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4247A5"/>
    <w:pPr>
      <w:tabs>
        <w:tab w:val="center" w:pos="4536"/>
        <w:tab w:val="right" w:pos="9072"/>
      </w:tabs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A4C32"/>
    <w:rPr>
      <w:rFonts w:asciiTheme="minorHAnsi" w:eastAsiaTheme="minorHAnsi" w:hAnsi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7A5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7A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504377"/>
    <w:pPr>
      <w:spacing w:after="60" w:line="276" w:lineRule="auto"/>
      <w:ind w:left="284" w:hanging="284"/>
    </w:pPr>
    <w:rPr>
      <w:rFonts w:cstheme="minorBidi"/>
      <w:sz w:val="21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A4C32"/>
    <w:rPr>
      <w:sz w:val="21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358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8455E3"/>
    <w:rPr>
      <w:rFonts w:eastAsiaTheme="majorEastAsia" w:cstheme="majorBidi"/>
      <w:b/>
      <w:bCs/>
      <w:smallCaps/>
    </w:rPr>
  </w:style>
  <w:style w:type="paragraph" w:styleId="Titre">
    <w:name w:val="Title"/>
    <w:basedOn w:val="Normal"/>
    <w:next w:val="SoulignTitre"/>
    <w:link w:val="TitreCar"/>
    <w:uiPriority w:val="10"/>
    <w:qFormat/>
    <w:rsid w:val="00F3631A"/>
    <w:pPr>
      <w:spacing w:after="240" w:line="276" w:lineRule="auto"/>
      <w:contextualSpacing/>
      <w:jc w:val="center"/>
    </w:pPr>
    <w:rPr>
      <w:rFonts w:eastAsiaTheme="majorEastAsia" w:cstheme="majorBidi"/>
      <w:b/>
      <w:smallCaps/>
      <w:spacing w:val="5"/>
      <w:kern w:val="28"/>
      <w:sz w:val="28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74305"/>
    <w:rPr>
      <w:rFonts w:eastAsiaTheme="majorEastAsia" w:cstheme="majorBidi"/>
      <w:b/>
      <w:smallCaps/>
      <w:spacing w:val="5"/>
      <w:kern w:val="28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71EBD"/>
    <w:rPr>
      <w:rFonts w:eastAsiaTheme="majorEastAsia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71EBD"/>
    <w:rPr>
      <w:rFonts w:eastAsiaTheme="majorEastAsia" w:cstheme="majorBidi"/>
      <w:b/>
      <w:bCs/>
      <w:i/>
    </w:rPr>
  </w:style>
  <w:style w:type="character" w:customStyle="1" w:styleId="Titre4Car">
    <w:name w:val="Titre 4 Car"/>
    <w:basedOn w:val="Policepardfaut"/>
    <w:link w:val="Titre4"/>
    <w:uiPriority w:val="9"/>
    <w:rsid w:val="00BF399F"/>
    <w:rPr>
      <w:rFonts w:eastAsiaTheme="majorEastAsia" w:cstheme="majorBidi"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871EBD"/>
    <w:rPr>
      <w:rFonts w:eastAsiaTheme="majorEastAsia" w:cstheme="majorBidi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871EBD"/>
    <w:rPr>
      <w:rFonts w:eastAsiaTheme="majorEastAsia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871E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871EBD"/>
    <w:rPr>
      <w:rFonts w:eastAsiaTheme="majorEastAsia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71EBD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Aarpi">
    <w:name w:val="Aarpi"/>
    <w:basedOn w:val="Normal"/>
    <w:link w:val="AarpiCar"/>
    <w:rsid w:val="00BA75E5"/>
    <w:pPr>
      <w:shd w:val="solid" w:color="FFFFFF" w:fill="FFFFFF"/>
      <w:tabs>
        <w:tab w:val="left" w:pos="1155"/>
      </w:tabs>
      <w:spacing w:after="60" w:line="276" w:lineRule="auto"/>
      <w:jc w:val="center"/>
    </w:pPr>
    <w:rPr>
      <w:rFonts w:ascii="Kunstler Script" w:hAnsi="Kunstler Script" w:cs="Tunga"/>
      <w:spacing w:val="10"/>
      <w:sz w:val="22"/>
      <w:szCs w:val="22"/>
      <w:lang w:eastAsia="en-US"/>
    </w:rPr>
  </w:style>
  <w:style w:type="character" w:customStyle="1" w:styleId="AarpiCar">
    <w:name w:val="Aarpi Car"/>
    <w:basedOn w:val="Policepardfaut"/>
    <w:link w:val="Aarpi"/>
    <w:rsid w:val="00BA75E5"/>
    <w:rPr>
      <w:rFonts w:ascii="Kunstler Script" w:hAnsi="Kunstler Script" w:cs="Tunga"/>
      <w:spacing w:val="10"/>
      <w:shd w:val="solid" w:color="FFFFFF" w:fill="FFFFFF"/>
      <w:lang w:eastAsia="fr-FR"/>
    </w:rPr>
  </w:style>
  <w:style w:type="paragraph" w:customStyle="1" w:styleId="En-ttedroite">
    <w:name w:val="En-tête droite"/>
    <w:basedOn w:val="Normal"/>
    <w:link w:val="En-ttedroiteCar"/>
    <w:rsid w:val="00A41769"/>
    <w:pPr>
      <w:spacing w:line="276" w:lineRule="auto"/>
      <w:jc w:val="right"/>
    </w:pPr>
    <w:rPr>
      <w:rFonts w:cstheme="minorBidi"/>
      <w:b/>
      <w:i/>
      <w:sz w:val="22"/>
      <w:lang w:eastAsia="en-US"/>
    </w:rPr>
  </w:style>
  <w:style w:type="character" w:customStyle="1" w:styleId="En-ttedroiteCar">
    <w:name w:val="En-tête droite Car"/>
    <w:basedOn w:val="Policepardfaut"/>
    <w:link w:val="En-ttedroite"/>
    <w:rsid w:val="00A41769"/>
    <w:rPr>
      <w:rFonts w:ascii="Garamond" w:hAnsi="Garamond" w:cs="Times New Roman"/>
      <w:b/>
      <w:i/>
      <w:szCs w:val="24"/>
      <w:lang w:eastAsia="fr-FR"/>
    </w:rPr>
  </w:style>
  <w:style w:type="paragraph" w:customStyle="1" w:styleId="SoulignTitre">
    <w:name w:val="Souligné Titre"/>
    <w:basedOn w:val="Normal"/>
    <w:next w:val="Normal"/>
    <w:link w:val="SoulignTitreCar"/>
    <w:semiHidden/>
    <w:rsid w:val="005C442B"/>
    <w:pPr>
      <w:pBdr>
        <w:bottom w:val="single" w:sz="4" w:space="1" w:color="auto"/>
      </w:pBdr>
      <w:spacing w:after="480"/>
      <w:ind w:left="2835" w:right="2835"/>
    </w:pPr>
    <w:rPr>
      <w:sz w:val="2"/>
    </w:rPr>
  </w:style>
  <w:style w:type="character" w:customStyle="1" w:styleId="SoulignTitreCar">
    <w:name w:val="Souligné Titre Car"/>
    <w:basedOn w:val="Policepardfaut"/>
    <w:link w:val="SoulignTitre"/>
    <w:semiHidden/>
    <w:rsid w:val="001A4C32"/>
    <w:rPr>
      <w:sz w:val="2"/>
    </w:rPr>
  </w:style>
  <w:style w:type="paragraph" w:customStyle="1" w:styleId="Numro">
    <w:name w:val="Numéro §"/>
    <w:basedOn w:val="Paragraphedeliste"/>
    <w:next w:val="Retrait"/>
    <w:link w:val="NumroCar"/>
    <w:qFormat/>
    <w:rsid w:val="00F3631A"/>
    <w:pPr>
      <w:numPr>
        <w:numId w:val="2"/>
      </w:numPr>
      <w:ind w:left="567" w:hanging="567"/>
      <w:contextualSpacing w:val="0"/>
    </w:pPr>
  </w:style>
  <w:style w:type="character" w:customStyle="1" w:styleId="NumroCar">
    <w:name w:val="Numéro § Car"/>
    <w:basedOn w:val="Policepardfaut"/>
    <w:link w:val="Numro"/>
    <w:rsid w:val="00F3631A"/>
  </w:style>
  <w:style w:type="paragraph" w:styleId="Paragraphedeliste">
    <w:name w:val="List Paragraph"/>
    <w:basedOn w:val="Normal"/>
    <w:uiPriority w:val="34"/>
    <w:rsid w:val="005C442B"/>
    <w:pPr>
      <w:spacing w:line="276" w:lineRule="auto"/>
      <w:ind w:left="720"/>
      <w:contextualSpacing/>
    </w:pPr>
    <w:rPr>
      <w:rFonts w:cstheme="minorBidi"/>
      <w:lang w:eastAsia="en-US"/>
    </w:rPr>
  </w:style>
  <w:style w:type="paragraph" w:customStyle="1" w:styleId="Retrait">
    <w:name w:val="Retrait §"/>
    <w:basedOn w:val="Normal"/>
    <w:link w:val="RetraitCar"/>
    <w:qFormat/>
    <w:rsid w:val="000544F0"/>
    <w:pPr>
      <w:spacing w:line="276" w:lineRule="auto"/>
      <w:ind w:left="567"/>
    </w:pPr>
    <w:rPr>
      <w:rFonts w:cstheme="minorBidi"/>
      <w:lang w:eastAsia="en-US"/>
    </w:rPr>
  </w:style>
  <w:style w:type="character" w:customStyle="1" w:styleId="RetraitCar">
    <w:name w:val="Retrait § Car"/>
    <w:basedOn w:val="Policepardfaut"/>
    <w:link w:val="Retrait"/>
    <w:rsid w:val="000544F0"/>
  </w:style>
  <w:style w:type="character" w:styleId="Textedelespacerserv">
    <w:name w:val="Placeholder Text"/>
    <w:basedOn w:val="Policepardfaut"/>
    <w:uiPriority w:val="99"/>
    <w:semiHidden/>
    <w:rsid w:val="00000E79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semiHidden/>
    <w:rsid w:val="008372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1A4C3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Sansinterligne">
    <w:name w:val="No Spacing"/>
    <w:uiPriority w:val="1"/>
    <w:semiHidden/>
    <w:rsid w:val="001A4C32"/>
    <w:pPr>
      <w:spacing w:after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udoc.abes.fr/DB=2.1/SET=1/TTL=1/CMD?ACT=SRCHA&amp;IKT=8&amp;SRT=RVL&amp;TRM=0242-6331" TargetMode="External"/><Relationship Id="rId18" Type="http://schemas.openxmlformats.org/officeDocument/2006/relationships/hyperlink" Target="http://www.sudoc.abes.fr/DB=2.1/SET=1/TTL=1/CMD?ACT=SRCHA&amp;IKT=8&amp;SRT=RVL&amp;TRM=1770-937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udoc.abes.fr/DB=2.1/SET=1/TTL=1/CMD?ACT=SRCHA&amp;IKT=8&amp;SRT=RVL&amp;TRM=0220-9896" TargetMode="External"/><Relationship Id="rId17" Type="http://schemas.openxmlformats.org/officeDocument/2006/relationships/hyperlink" Target="http://www.sudoc.abes.fr/DB=2.1/SET=1/TTL=1/CMD?ACT=SRCHA&amp;IKT=8&amp;SRT=RVL&amp;TRM=1770-93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udoc.abes.fr/DB=2.1/SET=1/TTL=1/CMD?ACT=SRCHA&amp;IKT=8&amp;SRT=RVL&amp;TRM=1298-728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doc.abes.fr/DB=2.1/SET=1/TTL=1/CMD?ACT=SRCHA&amp;IKT=8&amp;SRT=RVL&amp;TRM=0242-63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udoc.abes.fr/DB=2.1/SET=1/TTL=1/CMD?ACT=SRCHA&amp;IKT=8&amp;SRT=RVL&amp;TRM=0999-21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udoc.abes.fr/DB=2.1/SET=1/TTL=1/CMD?ACT=SRCHA&amp;IKT=8&amp;SRT=RVL&amp;TRM=0220-9896" TargetMode="External"/><Relationship Id="rId19" Type="http://schemas.openxmlformats.org/officeDocument/2006/relationships/hyperlink" Target="http://www.sudoc.abes.fr/DB=2.1/SET=1/TTL=1/CMD?ACT=SRCHA&amp;IKT=8&amp;SRT=RVL&amp;TRM=1762-91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doc.abes.fr/DB=2.1/SET=1/TTL=1/CMD?ACT=SRCHA&amp;IKT=8&amp;SRT=RVL&amp;TRM=1152-9172" TargetMode="External"/><Relationship Id="rId14" Type="http://schemas.openxmlformats.org/officeDocument/2006/relationships/hyperlink" Target="http://www.sudoc.abes.fr/DB=2.1/SET=1/TTL=1/CMD?ACT=SRCHA&amp;IKT=8&amp;SRT=RVL&amp;TRM=0999-21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63D9-A4B3-4D41-AED3-88E1972A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A8D9EF8E</Template>
  <TotalTime>15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sguerrer</dc:creator>
  <cp:lastModifiedBy>GUERRERO Sandra</cp:lastModifiedBy>
  <cp:revision>6</cp:revision>
  <cp:lastPrinted>2012-06-05T12:29:00Z</cp:lastPrinted>
  <dcterms:created xsi:type="dcterms:W3CDTF">2012-06-05T12:18:00Z</dcterms:created>
  <dcterms:modified xsi:type="dcterms:W3CDTF">2012-06-05T13:33:00Z</dcterms:modified>
</cp:coreProperties>
</file>